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0634" w14:textId="2BBA76EA" w:rsidR="00EC1150" w:rsidRDefault="00EC1150"/>
    <w:p w14:paraId="4F72D61A" w14:textId="1E35E0A3" w:rsidR="00EC1150" w:rsidRDefault="00D46753" w:rsidP="00D46753">
      <w:pPr>
        <w:pStyle w:val="Heading1"/>
      </w:pPr>
      <w:r>
        <w:t>T</w:t>
      </w:r>
      <w:r w:rsidR="008A474B">
        <w:t>he EU-Turkey Readmission C</w:t>
      </w:r>
      <w:r w:rsidRPr="00A47AFB">
        <w:t>ooperation</w:t>
      </w:r>
      <w:r w:rsidR="008A474B">
        <w:t xml:space="preserve">: </w:t>
      </w:r>
      <w:r w:rsidR="00A45175">
        <w:t xml:space="preserve">The </w:t>
      </w:r>
      <w:r w:rsidR="008A474B">
        <w:t>I</w:t>
      </w:r>
      <w:r>
        <w:t>ncongruity</w:t>
      </w:r>
      <w:r w:rsidR="00A45175">
        <w:t xml:space="preserve"> of The EU’s Readmission Agreements</w:t>
      </w:r>
      <w:r>
        <w:t xml:space="preserve"> with </w:t>
      </w:r>
      <w:r w:rsidR="00523372">
        <w:t>International and European Framework</w:t>
      </w:r>
      <w:r w:rsidR="00A45175">
        <w:t>s</w:t>
      </w:r>
      <w:bookmarkStart w:id="0" w:name="_GoBack"/>
      <w:bookmarkEnd w:id="0"/>
      <w:r w:rsidR="00523372">
        <w:t xml:space="preserve"> of International R</w:t>
      </w:r>
      <w:r w:rsidR="00523372" w:rsidRPr="00523372">
        <w:t xml:space="preserve">efugee and </w:t>
      </w:r>
      <w:r w:rsidR="00523372">
        <w:t>Human Rights L</w:t>
      </w:r>
      <w:r w:rsidR="00523372" w:rsidRPr="00523372">
        <w:t>aw</w:t>
      </w:r>
      <w:r w:rsidR="00872A31">
        <w:t>.</w:t>
      </w:r>
    </w:p>
    <w:p w14:paraId="038C7BCA" w14:textId="034FEDBB" w:rsidR="00EC1150" w:rsidRPr="00872A31" w:rsidRDefault="00EC1150">
      <w:pPr>
        <w:rPr>
          <w:lang w:val="en-GB"/>
        </w:rPr>
      </w:pPr>
    </w:p>
    <w:p w14:paraId="2C5FD03D" w14:textId="2F7AA2B0" w:rsidR="00523372" w:rsidRDefault="00523372"/>
    <w:p w14:paraId="0EC00E9C" w14:textId="17F96E1B" w:rsidR="00523372" w:rsidRDefault="00523372"/>
    <w:p w14:paraId="5701BBBA" w14:textId="005D9FAE" w:rsidR="00523372" w:rsidRDefault="00523372"/>
    <w:p w14:paraId="22C3748F" w14:textId="1A1D417A" w:rsidR="00523372" w:rsidRDefault="00523372"/>
    <w:p w14:paraId="6F659383" w14:textId="245BF9D3" w:rsidR="00523372" w:rsidRDefault="00523372"/>
    <w:p w14:paraId="778BD177" w14:textId="708D9BA4" w:rsidR="00523372" w:rsidRDefault="00523372"/>
    <w:p w14:paraId="0398DFCA" w14:textId="50E5F7E2" w:rsidR="00523372" w:rsidRDefault="00523372"/>
    <w:p w14:paraId="21637D48" w14:textId="287C3792" w:rsidR="00523372" w:rsidRDefault="00523372"/>
    <w:p w14:paraId="406CB01C" w14:textId="50BD72A9" w:rsidR="00523372" w:rsidRDefault="00523372"/>
    <w:p w14:paraId="0EE48F12" w14:textId="39498AC0" w:rsidR="00523372" w:rsidRDefault="00523372"/>
    <w:p w14:paraId="555CBC45" w14:textId="5039574B" w:rsidR="00523372" w:rsidRDefault="00523372" w:rsidP="00523372">
      <w:pPr>
        <w:spacing w:line="360" w:lineRule="auto"/>
      </w:pPr>
    </w:p>
    <w:p w14:paraId="42D6C2B8" w14:textId="6E8B46C1" w:rsidR="00523372" w:rsidRDefault="00523372" w:rsidP="00523372">
      <w:pPr>
        <w:spacing w:line="360" w:lineRule="auto"/>
      </w:pPr>
      <w:r>
        <w:t>Victor Bernard</w:t>
      </w:r>
      <w:r>
        <w:br/>
        <w:t>18 April 2017</w:t>
      </w:r>
    </w:p>
    <w:p w14:paraId="2FE87AA8" w14:textId="4219E588" w:rsidR="00523372" w:rsidRDefault="00523372" w:rsidP="00523372">
      <w:pPr>
        <w:spacing w:line="360" w:lineRule="auto"/>
      </w:pPr>
      <w:r>
        <w:t>The University of Edinburgh</w:t>
      </w:r>
    </w:p>
    <w:p w14:paraId="3F75ADC7" w14:textId="77777777" w:rsidR="00EC1150" w:rsidRDefault="00EC1150"/>
    <w:p w14:paraId="20988A61" w14:textId="77777777" w:rsidR="00EC1150" w:rsidRDefault="00EC1150"/>
    <w:p w14:paraId="170171F9" w14:textId="77777777" w:rsidR="00EC1150" w:rsidRDefault="00EC1150"/>
    <w:p w14:paraId="2D7E22EB" w14:textId="77777777" w:rsidR="00EC1150" w:rsidRDefault="00EC1150"/>
    <w:p w14:paraId="5B0E5375" w14:textId="77777777" w:rsidR="00EC1150" w:rsidRDefault="00EC1150"/>
    <w:p w14:paraId="4FA49149" w14:textId="199572DF" w:rsidR="00EC1150" w:rsidRDefault="00EC1150"/>
    <w:p w14:paraId="156490F5" w14:textId="06BC26EB" w:rsidR="00773FA8" w:rsidRDefault="00773FA8"/>
    <w:p w14:paraId="7B2DCBF3" w14:textId="5816673E" w:rsidR="00773FA8" w:rsidRDefault="00773FA8"/>
    <w:p w14:paraId="6E83A457" w14:textId="051374A0" w:rsidR="00773FA8" w:rsidRDefault="00773FA8"/>
    <w:p w14:paraId="566DCED4" w14:textId="20D86D0A" w:rsidR="00773FA8" w:rsidRDefault="00773FA8"/>
    <w:p w14:paraId="29DBDA92" w14:textId="03B8E978" w:rsidR="00773FA8" w:rsidRDefault="00773FA8"/>
    <w:p w14:paraId="67E14D06" w14:textId="329FFCC7" w:rsidR="00773FA8" w:rsidRDefault="00773FA8"/>
    <w:p w14:paraId="3EB12DA4" w14:textId="3DD54D94" w:rsidR="00773FA8" w:rsidRDefault="00773FA8"/>
    <w:p w14:paraId="3B0E0DF1" w14:textId="39416672" w:rsidR="00773FA8" w:rsidRDefault="00773FA8"/>
    <w:p w14:paraId="1D03F8FC" w14:textId="070A0E52" w:rsidR="00773FA8" w:rsidRDefault="00773FA8"/>
    <w:p w14:paraId="27D40C26" w14:textId="5F23E883" w:rsidR="00773FA8" w:rsidRDefault="00773FA8"/>
    <w:p w14:paraId="7F9BC67F" w14:textId="479DE3C2" w:rsidR="00773FA8" w:rsidRDefault="00773FA8"/>
    <w:p w14:paraId="0F375D06" w14:textId="3C7EAB6C" w:rsidR="00773FA8" w:rsidRDefault="00773FA8"/>
    <w:p w14:paraId="628327FF" w14:textId="7C2B3EE8" w:rsidR="00773FA8" w:rsidRDefault="00773FA8"/>
    <w:p w14:paraId="22194C6F" w14:textId="7368D8D4" w:rsidR="00773FA8" w:rsidRDefault="00773FA8"/>
    <w:p w14:paraId="18533714" w14:textId="2CC8646A" w:rsidR="00773FA8" w:rsidRDefault="00773FA8"/>
    <w:p w14:paraId="1EC0F91F" w14:textId="203FAE6F" w:rsidR="00773FA8" w:rsidRDefault="00773FA8"/>
    <w:p w14:paraId="4613897A" w14:textId="7E078E3E" w:rsidR="00773FA8" w:rsidRDefault="00773FA8"/>
    <w:p w14:paraId="02E8D39E" w14:textId="7AE5B21F" w:rsidR="00773FA8" w:rsidRDefault="00773FA8"/>
    <w:p w14:paraId="313A3361" w14:textId="02F981FF" w:rsidR="00EC1150" w:rsidRDefault="00EC1150"/>
    <w:p w14:paraId="20D1DFE4" w14:textId="77777777" w:rsidR="00EC1150" w:rsidRDefault="00EC1150"/>
    <w:p w14:paraId="2E86E487" w14:textId="77777777" w:rsidR="002B5A57" w:rsidRPr="00A47AFB" w:rsidRDefault="002B5A57" w:rsidP="00A47AFB">
      <w:pPr>
        <w:pStyle w:val="Heading1"/>
        <w:ind w:firstLine="720"/>
        <w:rPr>
          <w:b/>
          <w:color w:val="auto"/>
        </w:rPr>
      </w:pPr>
      <w:r w:rsidRPr="00A47AFB">
        <w:rPr>
          <w:b/>
          <w:color w:val="auto"/>
        </w:rPr>
        <w:lastRenderedPageBreak/>
        <w:t>Introduction</w:t>
      </w:r>
    </w:p>
    <w:p w14:paraId="07F9D973" w14:textId="7A0F747F" w:rsidR="002B5A57" w:rsidRPr="00A47AFB" w:rsidRDefault="002B5A57" w:rsidP="002B5A57">
      <w:pPr>
        <w:spacing w:after="240" w:line="360" w:lineRule="auto"/>
        <w:ind w:firstLine="720"/>
        <w:jc w:val="both"/>
        <w:rPr>
          <w:lang w:val="en-GB"/>
        </w:rPr>
      </w:pPr>
      <w:r w:rsidRPr="00A47AFB">
        <w:rPr>
          <w:lang w:val="en-GB"/>
        </w:rPr>
        <w:t>With the onset of the European refugee crisis, the European Union(EU) has increasingly sought to cooperate with third countries to curb</w:t>
      </w:r>
      <w:r w:rsidR="00F93174" w:rsidRPr="00A47AFB">
        <w:rPr>
          <w:lang w:val="en-GB"/>
        </w:rPr>
        <w:t xml:space="preserve"> inward</w:t>
      </w:r>
      <w:r w:rsidRPr="00A47AFB">
        <w:rPr>
          <w:lang w:val="en-GB"/>
        </w:rPr>
        <w:t xml:space="preserve"> irreg</w:t>
      </w:r>
      <w:r w:rsidR="008A7993" w:rsidRPr="00A47AFB">
        <w:rPr>
          <w:lang w:val="en-GB"/>
        </w:rPr>
        <w:t>ular migration flows</w:t>
      </w:r>
      <w:bookmarkStart w:id="1" w:name="_Ref479448466"/>
      <w:r w:rsidR="008A7993" w:rsidRPr="00A47AFB">
        <w:rPr>
          <w:rStyle w:val="FootnoteReference"/>
          <w:lang w:val="en-GB"/>
        </w:rPr>
        <w:footnoteReference w:id="1"/>
      </w:r>
      <w:bookmarkEnd w:id="1"/>
      <w:r w:rsidR="008A7993" w:rsidRPr="00A47AFB">
        <w:rPr>
          <w:lang w:val="en-GB"/>
        </w:rPr>
        <w:t>.</w:t>
      </w:r>
      <w:r w:rsidRPr="00A47AFB">
        <w:rPr>
          <w:rStyle w:val="FootnoteReference"/>
          <w:lang w:val="en-GB"/>
        </w:rPr>
        <w:t xml:space="preserve"> </w:t>
      </w:r>
      <w:r w:rsidRPr="00A47AFB">
        <w:rPr>
          <w:lang w:val="en-GB"/>
        </w:rPr>
        <w:t xml:space="preserve">EU readmission agreements have proven </w:t>
      </w:r>
      <w:r w:rsidR="008565C9" w:rsidRPr="00A47AFB">
        <w:rPr>
          <w:lang w:val="en-GB"/>
        </w:rPr>
        <w:t xml:space="preserve">successful </w:t>
      </w:r>
      <w:r w:rsidRPr="00A47AFB">
        <w:rPr>
          <w:lang w:val="en-GB"/>
        </w:rPr>
        <w:t>in accelerating the readmission of rejected protection</w:t>
      </w:r>
      <w:r w:rsidR="00A52790">
        <w:rPr>
          <w:lang w:val="en-GB"/>
        </w:rPr>
        <w:t xml:space="preserve"> seekers and irregular migrant</w:t>
      </w:r>
      <w:r w:rsidRPr="00A47AFB">
        <w:rPr>
          <w:lang w:val="en-GB"/>
        </w:rPr>
        <w:t>s without a right to reside in the EU to either a “country of origin”</w:t>
      </w:r>
      <w:r w:rsidR="00AC7B70" w:rsidRPr="00A47AFB">
        <w:rPr>
          <w:lang w:val="en-GB"/>
        </w:rPr>
        <w:t xml:space="preserve"> (CO)</w:t>
      </w:r>
      <w:r w:rsidRPr="00A47AFB">
        <w:rPr>
          <w:lang w:val="en-GB"/>
        </w:rPr>
        <w:t xml:space="preserve"> or a “safe third </w:t>
      </w:r>
      <w:proofErr w:type="gramStart"/>
      <w:r w:rsidRPr="00A47AFB">
        <w:rPr>
          <w:lang w:val="en-GB"/>
        </w:rPr>
        <w:t>country”(</w:t>
      </w:r>
      <w:proofErr w:type="gramEnd"/>
      <w:r w:rsidRPr="00A47AFB">
        <w:rPr>
          <w:lang w:val="en-GB"/>
        </w:rPr>
        <w:t>STC)</w:t>
      </w:r>
      <w:bookmarkStart w:id="2" w:name="_Ref479433956"/>
      <w:r w:rsidRPr="00A47AFB">
        <w:rPr>
          <w:rStyle w:val="FootnoteReference"/>
          <w:lang w:val="en-GB"/>
        </w:rPr>
        <w:footnoteReference w:id="2"/>
      </w:r>
      <w:bookmarkEnd w:id="2"/>
      <w:r w:rsidRPr="00A47AFB">
        <w:rPr>
          <w:lang w:val="en-GB"/>
        </w:rPr>
        <w:t>. Commentators have criticised these practices with third countries, arguing they violate or potentially violate the principle of non-</w:t>
      </w:r>
      <w:proofErr w:type="spellStart"/>
      <w:r w:rsidRPr="00A47AFB">
        <w:rPr>
          <w:lang w:val="en-GB"/>
        </w:rPr>
        <w:t>refoulement</w:t>
      </w:r>
      <w:proofErr w:type="spellEnd"/>
      <w:r w:rsidRPr="00A47AFB">
        <w:rPr>
          <w:lang w:val="en-GB"/>
        </w:rPr>
        <w:t xml:space="preserve"> enshrined in both the International and European framework of international refugee and human rights law (hereafter International and European framework)</w:t>
      </w:r>
      <w:bookmarkStart w:id="3" w:name="_Ref479462226"/>
      <w:r w:rsidR="00A7417B" w:rsidRPr="00A47AFB">
        <w:rPr>
          <w:rStyle w:val="FootnoteReference"/>
          <w:lang w:val="en-GB"/>
        </w:rPr>
        <w:footnoteReference w:id="3"/>
      </w:r>
      <w:bookmarkEnd w:id="3"/>
      <w:r w:rsidRPr="00A47AFB">
        <w:rPr>
          <w:lang w:val="en-GB"/>
        </w:rPr>
        <w:t>. This paper seeks to assess the compatibility with the International and European framework of EU’s readmission practices with third countries, using the recent EU-Turkey Readmission Statement</w:t>
      </w:r>
      <w:bookmarkStart w:id="4" w:name="_Ref479457510"/>
      <w:r w:rsidR="00ED7865" w:rsidRPr="00A47AFB">
        <w:rPr>
          <w:rStyle w:val="FootnoteReference"/>
          <w:lang w:val="en-GB"/>
        </w:rPr>
        <w:footnoteReference w:id="4"/>
      </w:r>
      <w:bookmarkEnd w:id="4"/>
      <w:r w:rsidRPr="00A47AFB">
        <w:rPr>
          <w:lang w:val="en-GB"/>
        </w:rPr>
        <w:t xml:space="preserve"> as a</w:t>
      </w:r>
      <w:r w:rsidR="00EC2DBE" w:rsidRPr="00A47AFB">
        <w:rPr>
          <w:lang w:val="en-GB"/>
        </w:rPr>
        <w:t xml:space="preserve"> point of reference.  T</w:t>
      </w:r>
      <w:r w:rsidRPr="00A47AFB">
        <w:rPr>
          <w:lang w:val="en-GB"/>
        </w:rPr>
        <w:t xml:space="preserve">his paper will mainly focus on readmission practices after the EU-Turkey readmission cooperation, when the EU assumed a greater role over determining STCs, </w:t>
      </w:r>
      <w:r w:rsidR="00EC2DBE" w:rsidRPr="00A47AFB">
        <w:rPr>
          <w:lang w:val="en-GB"/>
        </w:rPr>
        <w:t>usually administe</w:t>
      </w:r>
      <w:r w:rsidRPr="00A47AFB">
        <w:rPr>
          <w:lang w:val="en-GB"/>
        </w:rPr>
        <w:t>red by its member-states</w:t>
      </w:r>
      <w:r w:rsidRPr="00A47AFB">
        <w:rPr>
          <w:rStyle w:val="FootnoteReference"/>
          <w:lang w:val="en-GB"/>
        </w:rPr>
        <w:footnoteReference w:id="5"/>
      </w:r>
      <w:r w:rsidRPr="00A47AFB">
        <w:rPr>
          <w:lang w:val="en-GB"/>
        </w:rPr>
        <w:t>.</w:t>
      </w:r>
    </w:p>
    <w:p w14:paraId="1717D26B" w14:textId="40AC2907" w:rsidR="002B5A57" w:rsidRPr="00A47AFB" w:rsidRDefault="002B5A57" w:rsidP="00A7417B">
      <w:pPr>
        <w:spacing w:after="240" w:line="360" w:lineRule="auto"/>
        <w:ind w:firstLine="720"/>
        <w:jc w:val="both"/>
        <w:rPr>
          <w:lang w:val="en-GB"/>
        </w:rPr>
      </w:pPr>
      <w:r w:rsidRPr="00A47AFB">
        <w:rPr>
          <w:lang w:val="en-GB"/>
        </w:rPr>
        <w:t xml:space="preserve">Arguably, the expanding </w:t>
      </w:r>
      <w:r w:rsidR="00127B75" w:rsidRPr="00A47AFB">
        <w:rPr>
          <w:lang w:val="en-GB"/>
        </w:rPr>
        <w:t>EU-STC</w:t>
      </w:r>
      <w:r w:rsidRPr="00A47AFB">
        <w:rPr>
          <w:lang w:val="en-GB"/>
        </w:rPr>
        <w:t xml:space="preserve"> policy does not amount to incongruity with International and European Framework </w:t>
      </w:r>
      <w:r w:rsidRPr="00A47AFB">
        <w:rPr>
          <w:i/>
          <w:lang w:val="en-GB"/>
        </w:rPr>
        <w:t>per se</w:t>
      </w:r>
      <w:r w:rsidR="00ED7865" w:rsidRPr="00A47AFB">
        <w:rPr>
          <w:rStyle w:val="FootnoteReference"/>
          <w:i/>
          <w:lang w:val="en-GB"/>
        </w:rPr>
        <w:footnoteReference w:id="6"/>
      </w:r>
      <w:r w:rsidRPr="00A47AFB">
        <w:rPr>
          <w:lang w:val="en-GB"/>
        </w:rPr>
        <w:t>. On the contrary, the non-affection clauses in the EU readmission agreements and secondary legislations – Asylum P</w:t>
      </w:r>
      <w:r w:rsidR="00A7417B" w:rsidRPr="00A47AFB">
        <w:rPr>
          <w:lang w:val="en-GB"/>
        </w:rPr>
        <w:t>rocedures Directive(APD) and</w:t>
      </w:r>
      <w:r w:rsidRPr="00A47AFB">
        <w:rPr>
          <w:lang w:val="en-GB"/>
        </w:rPr>
        <w:t xml:space="preserve"> </w:t>
      </w:r>
      <w:r w:rsidR="008565C9" w:rsidRPr="00A47AFB">
        <w:rPr>
          <w:lang w:val="en-GB"/>
        </w:rPr>
        <w:t>Returns Directive(RD) – require</w:t>
      </w:r>
      <w:r w:rsidRPr="00A47AFB">
        <w:rPr>
          <w:lang w:val="en-GB"/>
        </w:rPr>
        <w:t xml:space="preserve"> member-states to observe international treatie</w:t>
      </w:r>
      <w:r w:rsidR="00EC2DBE" w:rsidRPr="00A47AFB">
        <w:rPr>
          <w:lang w:val="en-GB"/>
        </w:rPr>
        <w:t>s on non-</w:t>
      </w:r>
      <w:proofErr w:type="spellStart"/>
      <w:r w:rsidR="00EC2DBE" w:rsidRPr="00A47AFB">
        <w:rPr>
          <w:lang w:val="en-GB"/>
        </w:rPr>
        <w:t>refoulement</w:t>
      </w:r>
      <w:proofErr w:type="spellEnd"/>
      <w:r w:rsidR="00EC2DBE" w:rsidRPr="00A47AFB">
        <w:rPr>
          <w:lang w:val="en-GB"/>
        </w:rPr>
        <w:t xml:space="preserve">. </w:t>
      </w:r>
      <w:r w:rsidR="00A7417B" w:rsidRPr="00A47AFB">
        <w:rPr>
          <w:lang w:val="en-GB"/>
        </w:rPr>
        <w:t>Also, r</w:t>
      </w:r>
      <w:r w:rsidRPr="00A47AFB">
        <w:rPr>
          <w:lang w:val="en-GB"/>
        </w:rPr>
        <w:t>eadmissio</w:t>
      </w:r>
      <w:r w:rsidR="008565C9" w:rsidRPr="00A47AFB">
        <w:rPr>
          <w:lang w:val="en-GB"/>
        </w:rPr>
        <w:t>n practices exclusively target</w:t>
      </w:r>
      <w:r w:rsidRPr="00A47AFB">
        <w:rPr>
          <w:lang w:val="en-GB"/>
        </w:rPr>
        <w:t xml:space="preserve"> irregular migrants and rejecte</w:t>
      </w:r>
      <w:r w:rsidR="00EC2DBE" w:rsidRPr="00A47AFB">
        <w:rPr>
          <w:lang w:val="en-GB"/>
        </w:rPr>
        <w:t>d asylum seekers - both of whom</w:t>
      </w:r>
      <w:r w:rsidRPr="00A47AFB">
        <w:rPr>
          <w:lang w:val="en-GB"/>
        </w:rPr>
        <w:t xml:space="preserve"> fall outside the non-</w:t>
      </w:r>
      <w:proofErr w:type="spellStart"/>
      <w:r w:rsidRPr="00A47AFB">
        <w:rPr>
          <w:lang w:val="en-GB"/>
        </w:rPr>
        <w:t>refoulement</w:t>
      </w:r>
      <w:proofErr w:type="spellEnd"/>
      <w:r w:rsidRPr="00A47AFB">
        <w:rPr>
          <w:lang w:val="en-GB"/>
        </w:rPr>
        <w:t xml:space="preserve"> principle’s ambit. This essay will argue that EU’s readmission practices do not take into account the non-</w:t>
      </w:r>
      <w:proofErr w:type="spellStart"/>
      <w:r w:rsidRPr="00A47AFB">
        <w:rPr>
          <w:lang w:val="en-GB"/>
        </w:rPr>
        <w:t>refoulement’s</w:t>
      </w:r>
      <w:proofErr w:type="spellEnd"/>
      <w:r w:rsidRPr="00A47AFB">
        <w:rPr>
          <w:lang w:val="en-GB"/>
        </w:rPr>
        <w:t xml:space="preserve"> progressive development through codification and judicial interpretation by, </w:t>
      </w:r>
      <w:r w:rsidRPr="00A47AFB">
        <w:rPr>
          <w:lang w:val="en-GB"/>
        </w:rPr>
        <w:lastRenderedPageBreak/>
        <w:t>inter alia, the United Nations High Commissioner for Refugees (UNCHR) and the European Court of Human Rights (ECtHR). These constitute distinct elements o</w:t>
      </w:r>
      <w:r w:rsidR="00EC2DBE" w:rsidRPr="00A47AFB">
        <w:rPr>
          <w:lang w:val="en-GB"/>
        </w:rPr>
        <w:t>f international law-making that</w:t>
      </w:r>
      <w:r w:rsidRPr="00A47AFB">
        <w:rPr>
          <w:lang w:val="en-GB"/>
        </w:rPr>
        <w:t xml:space="preserve"> has extended non-</w:t>
      </w:r>
      <w:proofErr w:type="spellStart"/>
      <w:r w:rsidRPr="00A47AFB">
        <w:rPr>
          <w:lang w:val="en-GB"/>
        </w:rPr>
        <w:t>refoulement’s</w:t>
      </w:r>
      <w:proofErr w:type="spellEnd"/>
      <w:r w:rsidRPr="00A47AFB">
        <w:rPr>
          <w:lang w:val="en-GB"/>
        </w:rPr>
        <w:t xml:space="preserve"> </w:t>
      </w:r>
      <w:proofErr w:type="spellStart"/>
      <w:r w:rsidRPr="00A47AFB">
        <w:rPr>
          <w:i/>
          <w:lang w:val="en-GB"/>
        </w:rPr>
        <w:t>ratione</w:t>
      </w:r>
      <w:proofErr w:type="spellEnd"/>
      <w:r w:rsidRPr="00A47AFB">
        <w:rPr>
          <w:i/>
          <w:lang w:val="en-GB"/>
        </w:rPr>
        <w:t xml:space="preserve"> loci</w:t>
      </w:r>
      <w:r w:rsidRPr="00A47AFB">
        <w:rPr>
          <w:lang w:val="en-GB"/>
        </w:rPr>
        <w:t xml:space="preserve"> to include non-</w:t>
      </w:r>
      <w:proofErr w:type="spellStart"/>
      <w:r w:rsidRPr="00A47AFB">
        <w:rPr>
          <w:lang w:val="en-GB"/>
        </w:rPr>
        <w:t>refoulement</w:t>
      </w:r>
      <w:proofErr w:type="spellEnd"/>
      <w:r w:rsidRPr="00A47AFB">
        <w:rPr>
          <w:lang w:val="en-GB"/>
        </w:rPr>
        <w:t xml:space="preserve"> violations outside the</w:t>
      </w:r>
      <w:r w:rsidR="00A7417B" w:rsidRPr="00A47AFB">
        <w:rPr>
          <w:lang w:val="en-GB"/>
        </w:rPr>
        <w:t xml:space="preserve"> Sending State’s</w:t>
      </w:r>
      <w:r w:rsidRPr="00A47AFB">
        <w:rPr>
          <w:lang w:val="en-GB"/>
        </w:rPr>
        <w:t xml:space="preserve"> territorial j</w:t>
      </w:r>
      <w:r w:rsidR="00A7417B" w:rsidRPr="00A47AFB">
        <w:rPr>
          <w:lang w:val="en-GB"/>
        </w:rPr>
        <w:t>urisdiction</w:t>
      </w:r>
      <w:r w:rsidRPr="00A47AFB">
        <w:rPr>
          <w:lang w:val="en-GB"/>
        </w:rPr>
        <w:t xml:space="preserve">, with regards to “chain </w:t>
      </w:r>
      <w:proofErr w:type="spellStart"/>
      <w:r w:rsidRPr="00A47AFB">
        <w:rPr>
          <w:lang w:val="en-GB"/>
        </w:rPr>
        <w:t>refoulement</w:t>
      </w:r>
      <w:proofErr w:type="spellEnd"/>
      <w:r w:rsidRPr="00A47AFB">
        <w:rPr>
          <w:lang w:val="en-GB"/>
        </w:rPr>
        <w:t>” and “collective expulsion”</w:t>
      </w:r>
      <w:bookmarkStart w:id="5" w:name="_Ref479437454"/>
      <w:r w:rsidR="00ED7865" w:rsidRPr="00A47AFB">
        <w:rPr>
          <w:rStyle w:val="FootnoteReference"/>
          <w:lang w:val="en-GB"/>
        </w:rPr>
        <w:footnoteReference w:id="7"/>
      </w:r>
      <w:bookmarkEnd w:id="5"/>
      <w:r w:rsidRPr="00A47AFB">
        <w:rPr>
          <w:lang w:val="en-GB"/>
        </w:rPr>
        <w:t>. The enhanced scope of</w:t>
      </w:r>
      <w:r w:rsidR="00A7417B" w:rsidRPr="00A47AFB">
        <w:rPr>
          <w:lang w:val="en-GB"/>
        </w:rPr>
        <w:t xml:space="preserve"> non-</w:t>
      </w:r>
      <w:proofErr w:type="spellStart"/>
      <w:r w:rsidR="00A7417B" w:rsidRPr="00A47AFB">
        <w:rPr>
          <w:lang w:val="en-GB"/>
        </w:rPr>
        <w:t>refoulement’s</w:t>
      </w:r>
      <w:proofErr w:type="spellEnd"/>
      <w:r w:rsidR="00A7417B" w:rsidRPr="00A47AFB">
        <w:rPr>
          <w:lang w:val="en-GB"/>
        </w:rPr>
        <w:t xml:space="preserve"> application</w:t>
      </w:r>
      <w:r w:rsidRPr="00A47AFB">
        <w:rPr>
          <w:lang w:val="en-GB"/>
        </w:rPr>
        <w:t xml:space="preserve"> is not reflected in t</w:t>
      </w:r>
      <w:r w:rsidR="00EC2DBE" w:rsidRPr="00A47AFB">
        <w:rPr>
          <w:lang w:val="en-GB"/>
        </w:rPr>
        <w:t xml:space="preserve">he EU-Turkey readmission deal, </w:t>
      </w:r>
      <w:r w:rsidRPr="00A47AFB">
        <w:rPr>
          <w:lang w:val="en-GB"/>
        </w:rPr>
        <w:t>or in the EU’s centralised STC policy, as neither account for the risk of onward expulsion</w:t>
      </w:r>
      <w:r w:rsidR="00A7417B" w:rsidRPr="00A47AFB">
        <w:rPr>
          <w:lang w:val="en-GB"/>
        </w:rPr>
        <w:t xml:space="preserve"> by the STC or collective expulsion conducted extraterritorially. </w:t>
      </w:r>
      <w:r w:rsidRPr="00A47AFB">
        <w:rPr>
          <w:lang w:val="en-GB"/>
        </w:rPr>
        <w:t>Accordingly, EU readmission practices with third countries have become incompatible with the International and European framework.</w:t>
      </w:r>
    </w:p>
    <w:p w14:paraId="07F00AD9" w14:textId="4E24C4C5" w:rsidR="00920E82" w:rsidRDefault="00A7417B" w:rsidP="002A6E7D">
      <w:pPr>
        <w:spacing w:line="360" w:lineRule="auto"/>
        <w:ind w:firstLine="720"/>
        <w:jc w:val="both"/>
        <w:rPr>
          <w:lang w:val="en-GB"/>
        </w:rPr>
      </w:pPr>
      <w:r w:rsidRPr="00A47AFB">
        <w:rPr>
          <w:lang w:val="en-GB"/>
        </w:rPr>
        <w:t>To argue this</w:t>
      </w:r>
      <w:r w:rsidR="00EC2DBE" w:rsidRPr="00A47AFB">
        <w:rPr>
          <w:lang w:val="en-GB"/>
        </w:rPr>
        <w:t>, m</w:t>
      </w:r>
      <w:r w:rsidR="002B5A57" w:rsidRPr="00A47AFB">
        <w:rPr>
          <w:lang w:val="en-GB"/>
        </w:rPr>
        <w:t>y strategy begins with an examination of the principle of non-</w:t>
      </w:r>
      <w:proofErr w:type="spellStart"/>
      <w:r w:rsidR="002B5A57" w:rsidRPr="00A47AFB">
        <w:rPr>
          <w:lang w:val="en-GB"/>
        </w:rPr>
        <w:t>refoulement</w:t>
      </w:r>
      <w:proofErr w:type="spellEnd"/>
      <w:r w:rsidR="002B5A57" w:rsidRPr="00A47AFB">
        <w:rPr>
          <w:lang w:val="en-GB"/>
        </w:rPr>
        <w:t xml:space="preserve"> and the EU’s readmission practices. Secondly, an analysis of the development of non-</w:t>
      </w:r>
      <w:proofErr w:type="spellStart"/>
      <w:r w:rsidR="002B5A57" w:rsidRPr="00A47AFB">
        <w:rPr>
          <w:lang w:val="en-GB"/>
        </w:rPr>
        <w:t>refoulement</w:t>
      </w:r>
      <w:proofErr w:type="spellEnd"/>
      <w:r w:rsidR="002B5A57" w:rsidRPr="00A47AFB">
        <w:rPr>
          <w:lang w:val="en-GB"/>
        </w:rPr>
        <w:t xml:space="preserve"> </w:t>
      </w:r>
      <w:r w:rsidR="002A6E7D" w:rsidRPr="00A47AFB">
        <w:rPr>
          <w:lang w:val="en-GB"/>
        </w:rPr>
        <w:t xml:space="preserve">to apply in cases of chain </w:t>
      </w:r>
      <w:proofErr w:type="spellStart"/>
      <w:r w:rsidR="002A6E7D" w:rsidRPr="00A47AFB">
        <w:rPr>
          <w:lang w:val="en-GB"/>
        </w:rPr>
        <w:t>refoulement</w:t>
      </w:r>
      <w:proofErr w:type="spellEnd"/>
      <w:r w:rsidR="00EC2DBE" w:rsidRPr="00A47AFB">
        <w:rPr>
          <w:lang w:val="en-GB"/>
        </w:rPr>
        <w:t xml:space="preserve"> is made</w:t>
      </w:r>
      <w:r w:rsidR="002A6E7D" w:rsidRPr="00A47AFB">
        <w:rPr>
          <w:lang w:val="en-GB"/>
        </w:rPr>
        <w:t>. The final section demonstrates the application of non-</w:t>
      </w:r>
      <w:proofErr w:type="spellStart"/>
      <w:r w:rsidR="002A6E7D" w:rsidRPr="00A47AFB">
        <w:rPr>
          <w:lang w:val="en-GB"/>
        </w:rPr>
        <w:t>refoulement</w:t>
      </w:r>
      <w:proofErr w:type="spellEnd"/>
      <w:r w:rsidR="002A6E7D" w:rsidRPr="00A47AFB">
        <w:rPr>
          <w:lang w:val="en-GB"/>
        </w:rPr>
        <w:t xml:space="preserve"> extraterritorially, </w:t>
      </w:r>
      <w:r w:rsidR="002B5A57" w:rsidRPr="00A47AFB">
        <w:rPr>
          <w:lang w:val="en-GB"/>
        </w:rPr>
        <w:t>concerning prohibition of collective expulsion of irregular migrants.</w:t>
      </w:r>
    </w:p>
    <w:p w14:paraId="739D9F2B" w14:textId="17F26C57" w:rsidR="00A47AFB" w:rsidRDefault="00A47AFB" w:rsidP="002A6E7D">
      <w:pPr>
        <w:spacing w:line="360" w:lineRule="auto"/>
        <w:ind w:firstLine="720"/>
        <w:jc w:val="both"/>
        <w:rPr>
          <w:lang w:val="en-GB"/>
        </w:rPr>
      </w:pPr>
    </w:p>
    <w:p w14:paraId="4A3308EE" w14:textId="1DA09BCA" w:rsidR="00A47AFB" w:rsidRDefault="00A47AFB" w:rsidP="002A6E7D">
      <w:pPr>
        <w:spacing w:line="360" w:lineRule="auto"/>
        <w:ind w:firstLine="720"/>
        <w:jc w:val="both"/>
        <w:rPr>
          <w:lang w:val="en-GB"/>
        </w:rPr>
      </w:pPr>
    </w:p>
    <w:p w14:paraId="358556FF" w14:textId="2676CBDC" w:rsidR="00A47AFB" w:rsidRDefault="00A47AFB" w:rsidP="002A6E7D">
      <w:pPr>
        <w:spacing w:line="360" w:lineRule="auto"/>
        <w:ind w:firstLine="720"/>
        <w:jc w:val="both"/>
        <w:rPr>
          <w:lang w:val="en-GB"/>
        </w:rPr>
      </w:pPr>
    </w:p>
    <w:p w14:paraId="36776DD8" w14:textId="5539E0F3" w:rsidR="00A47AFB" w:rsidRDefault="00A47AFB" w:rsidP="002A6E7D">
      <w:pPr>
        <w:spacing w:line="360" w:lineRule="auto"/>
        <w:ind w:firstLine="720"/>
        <w:jc w:val="both"/>
        <w:rPr>
          <w:lang w:val="en-GB"/>
        </w:rPr>
      </w:pPr>
    </w:p>
    <w:p w14:paraId="2877AA1D" w14:textId="4D4DF068" w:rsidR="00A47AFB" w:rsidRDefault="00A47AFB" w:rsidP="002A6E7D">
      <w:pPr>
        <w:spacing w:line="360" w:lineRule="auto"/>
        <w:ind w:firstLine="720"/>
        <w:jc w:val="both"/>
        <w:rPr>
          <w:lang w:val="en-GB"/>
        </w:rPr>
      </w:pPr>
    </w:p>
    <w:p w14:paraId="420CAAB6" w14:textId="694BEFCA" w:rsidR="00A47AFB" w:rsidRDefault="00A47AFB" w:rsidP="002A6E7D">
      <w:pPr>
        <w:spacing w:line="360" w:lineRule="auto"/>
        <w:ind w:firstLine="720"/>
        <w:jc w:val="both"/>
        <w:rPr>
          <w:lang w:val="en-GB"/>
        </w:rPr>
      </w:pPr>
    </w:p>
    <w:p w14:paraId="213AFB11" w14:textId="2C75FA70" w:rsidR="00A47AFB" w:rsidRDefault="00A47AFB" w:rsidP="002A6E7D">
      <w:pPr>
        <w:spacing w:line="360" w:lineRule="auto"/>
        <w:ind w:firstLine="720"/>
        <w:jc w:val="both"/>
        <w:rPr>
          <w:lang w:val="en-GB"/>
        </w:rPr>
      </w:pPr>
    </w:p>
    <w:p w14:paraId="45156491" w14:textId="46A4872B" w:rsidR="00A47AFB" w:rsidRDefault="00A47AFB" w:rsidP="002A6E7D">
      <w:pPr>
        <w:spacing w:line="360" w:lineRule="auto"/>
        <w:ind w:firstLine="720"/>
        <w:jc w:val="both"/>
        <w:rPr>
          <w:lang w:val="en-GB"/>
        </w:rPr>
      </w:pPr>
    </w:p>
    <w:p w14:paraId="30E24767" w14:textId="03902569" w:rsidR="00A47AFB" w:rsidRDefault="00A47AFB" w:rsidP="002A6E7D">
      <w:pPr>
        <w:spacing w:line="360" w:lineRule="auto"/>
        <w:ind w:firstLine="720"/>
        <w:jc w:val="both"/>
        <w:rPr>
          <w:lang w:val="en-GB"/>
        </w:rPr>
      </w:pPr>
    </w:p>
    <w:p w14:paraId="4BF7CCD7" w14:textId="2787C5BF" w:rsidR="00A47AFB" w:rsidRDefault="00A47AFB" w:rsidP="002A6E7D">
      <w:pPr>
        <w:spacing w:line="360" w:lineRule="auto"/>
        <w:ind w:firstLine="720"/>
        <w:jc w:val="both"/>
        <w:rPr>
          <w:lang w:val="en-GB"/>
        </w:rPr>
      </w:pPr>
    </w:p>
    <w:p w14:paraId="1EBA032F" w14:textId="4D9E9714" w:rsidR="00A47AFB" w:rsidRDefault="00A47AFB" w:rsidP="002A6E7D">
      <w:pPr>
        <w:spacing w:line="360" w:lineRule="auto"/>
        <w:ind w:firstLine="720"/>
        <w:jc w:val="both"/>
        <w:rPr>
          <w:lang w:val="en-GB"/>
        </w:rPr>
      </w:pPr>
    </w:p>
    <w:p w14:paraId="5816AEB5" w14:textId="77777777" w:rsidR="00A47AFB" w:rsidRPr="00A47AFB" w:rsidRDefault="00A47AFB" w:rsidP="002A6E7D">
      <w:pPr>
        <w:spacing w:line="360" w:lineRule="auto"/>
        <w:ind w:firstLine="720"/>
        <w:jc w:val="both"/>
        <w:rPr>
          <w:lang w:val="en-GB"/>
        </w:rPr>
      </w:pPr>
    </w:p>
    <w:p w14:paraId="1EDCCE3F" w14:textId="4C53DA0F" w:rsidR="00920E82" w:rsidRPr="00773FA8" w:rsidRDefault="00AC7B70" w:rsidP="00920E82">
      <w:pPr>
        <w:pStyle w:val="Heading1"/>
        <w:numPr>
          <w:ilvl w:val="0"/>
          <w:numId w:val="1"/>
        </w:numPr>
        <w:rPr>
          <w:b/>
          <w:color w:val="auto"/>
          <w:lang w:val="fr-FR"/>
        </w:rPr>
      </w:pPr>
      <w:r w:rsidRPr="00773FA8">
        <w:rPr>
          <w:b/>
          <w:color w:val="auto"/>
          <w:lang w:val="fr-FR"/>
        </w:rPr>
        <w:lastRenderedPageBreak/>
        <w:t xml:space="preserve">EU </w:t>
      </w:r>
      <w:proofErr w:type="spellStart"/>
      <w:r w:rsidRPr="00773FA8">
        <w:rPr>
          <w:b/>
          <w:color w:val="auto"/>
          <w:lang w:val="fr-FR"/>
        </w:rPr>
        <w:t>Readmission</w:t>
      </w:r>
      <w:proofErr w:type="spellEnd"/>
      <w:r w:rsidRPr="00773FA8">
        <w:rPr>
          <w:b/>
          <w:color w:val="auto"/>
          <w:lang w:val="fr-FR"/>
        </w:rPr>
        <w:t xml:space="preserve"> P</w:t>
      </w:r>
      <w:r w:rsidR="00920E82" w:rsidRPr="00773FA8">
        <w:rPr>
          <w:b/>
          <w:color w:val="auto"/>
          <w:lang w:val="fr-FR"/>
        </w:rPr>
        <w:t xml:space="preserve">ractices and </w:t>
      </w:r>
      <w:r w:rsidRPr="00773FA8">
        <w:rPr>
          <w:b/>
          <w:color w:val="auto"/>
          <w:lang w:val="fr-FR"/>
        </w:rPr>
        <w:t>N</w:t>
      </w:r>
      <w:r w:rsidR="00920E82" w:rsidRPr="00773FA8">
        <w:rPr>
          <w:b/>
          <w:color w:val="auto"/>
          <w:lang w:val="fr-FR"/>
        </w:rPr>
        <w:t>on-refoulement</w:t>
      </w:r>
    </w:p>
    <w:p w14:paraId="3010AF81" w14:textId="35E5FDB1" w:rsidR="00920E82" w:rsidRPr="00A47AFB" w:rsidRDefault="00920E82" w:rsidP="00920E82">
      <w:pPr>
        <w:spacing w:line="360" w:lineRule="auto"/>
        <w:ind w:firstLine="720"/>
        <w:jc w:val="both"/>
        <w:rPr>
          <w:lang w:val="en-GB"/>
        </w:rPr>
      </w:pPr>
      <w:r w:rsidRPr="00A47AFB">
        <w:rPr>
          <w:lang w:val="en-GB"/>
        </w:rPr>
        <w:t>This section will examine the intersection between migration control and the principle of non-</w:t>
      </w:r>
      <w:proofErr w:type="spellStart"/>
      <w:r w:rsidRPr="00A47AFB">
        <w:rPr>
          <w:lang w:val="en-GB"/>
        </w:rPr>
        <w:t>refoulement</w:t>
      </w:r>
      <w:proofErr w:type="spellEnd"/>
      <w:r w:rsidRPr="00A47AFB">
        <w:rPr>
          <w:lang w:val="en-GB"/>
        </w:rPr>
        <w:t>, both of which are protected under the International and European framework</w:t>
      </w:r>
      <w:bookmarkStart w:id="6" w:name="_Ref479435745"/>
      <w:r w:rsidR="003E57D6" w:rsidRPr="00A47AFB">
        <w:rPr>
          <w:rStyle w:val="FootnoteReference"/>
          <w:lang w:val="en-GB"/>
        </w:rPr>
        <w:footnoteReference w:id="8"/>
      </w:r>
      <w:bookmarkEnd w:id="6"/>
      <w:r w:rsidRPr="00A47AFB">
        <w:rPr>
          <w:lang w:val="en-GB"/>
        </w:rPr>
        <w:t xml:space="preserve">. </w:t>
      </w:r>
      <w:r w:rsidR="00EC2DBE" w:rsidRPr="00A47AFB">
        <w:rPr>
          <w:lang w:val="en-GB"/>
        </w:rPr>
        <w:t>An evaluation on</w:t>
      </w:r>
      <w:r w:rsidRPr="00A47AFB">
        <w:rPr>
          <w:lang w:val="en-GB"/>
        </w:rPr>
        <w:t xml:space="preserve"> how EU readmission practices</w:t>
      </w:r>
      <w:r w:rsidR="00EC2DBE" w:rsidRPr="00A47AFB">
        <w:rPr>
          <w:lang w:val="en-GB"/>
        </w:rPr>
        <w:t xml:space="preserve"> </w:t>
      </w:r>
      <w:r w:rsidR="00A7417B" w:rsidRPr="00A47AFB">
        <w:rPr>
          <w:lang w:val="en-GB"/>
        </w:rPr>
        <w:t>balance</w:t>
      </w:r>
      <w:r w:rsidRPr="00A47AFB">
        <w:rPr>
          <w:lang w:val="en-GB"/>
        </w:rPr>
        <w:t xml:space="preserve"> these rights and duties, and in turn are compatible with International and European framework</w:t>
      </w:r>
      <w:r w:rsidR="00EC2DBE" w:rsidRPr="00A47AFB">
        <w:rPr>
          <w:lang w:val="en-GB"/>
        </w:rPr>
        <w:t xml:space="preserve"> will be given</w:t>
      </w:r>
      <w:r w:rsidRPr="00A47AFB">
        <w:rPr>
          <w:lang w:val="en-GB"/>
        </w:rPr>
        <w:t>.</w:t>
      </w:r>
    </w:p>
    <w:p w14:paraId="0B29C680" w14:textId="77777777" w:rsidR="00920E82" w:rsidRPr="00A47AFB" w:rsidRDefault="00920E82" w:rsidP="00A47AFB">
      <w:pPr>
        <w:pStyle w:val="Heading2"/>
        <w:rPr>
          <w:rFonts w:eastAsia="Malgun Gothic"/>
          <w:b/>
          <w:color w:val="auto"/>
          <w:lang w:eastAsia="ko-KR"/>
        </w:rPr>
      </w:pPr>
      <w:r w:rsidRPr="00A47AFB">
        <w:rPr>
          <w:rFonts w:eastAsia="PMingLiU"/>
          <w:b/>
          <w:color w:val="auto"/>
          <w:lang w:eastAsia="zh-TW"/>
        </w:rPr>
        <w:t xml:space="preserve">I.1. </w:t>
      </w:r>
      <w:r w:rsidRPr="00A47AFB">
        <w:rPr>
          <w:rFonts w:eastAsia="Malgun Gothic"/>
          <w:b/>
          <w:color w:val="auto"/>
          <w:lang w:eastAsia="ko-KR"/>
        </w:rPr>
        <w:t>Obligation to readmit own nationals:</w:t>
      </w:r>
      <w:r w:rsidRPr="00A47AFB">
        <w:rPr>
          <w:b/>
        </w:rPr>
        <w:tab/>
      </w:r>
    </w:p>
    <w:p w14:paraId="5CB0DFC9" w14:textId="116E6AB0" w:rsidR="00920E82" w:rsidRPr="00A47AFB" w:rsidRDefault="00920E82" w:rsidP="008565C9">
      <w:pPr>
        <w:spacing w:after="240" w:line="360" w:lineRule="auto"/>
        <w:ind w:firstLine="720"/>
        <w:jc w:val="both"/>
        <w:rPr>
          <w:lang w:val="en-GB"/>
        </w:rPr>
      </w:pPr>
      <w:r w:rsidRPr="00A47AFB">
        <w:rPr>
          <w:lang w:val="en-GB"/>
        </w:rPr>
        <w:t>General international law provides for both a universal right for a person to return to his/her country and the sovereign right for states to expel aliens</w:t>
      </w:r>
      <w:r w:rsidR="007A47BC" w:rsidRPr="00A47AFB">
        <w:rPr>
          <w:rStyle w:val="FootnoteReference"/>
          <w:lang w:val="en-GB"/>
        </w:rPr>
        <w:footnoteReference w:id="9"/>
      </w:r>
      <w:r w:rsidRPr="00A47AFB">
        <w:rPr>
          <w:lang w:val="en-GB"/>
        </w:rPr>
        <w:t>. These rights are also reiterated in several human rights treaties: Art.13(2) Universal Declaration of Human Rights(UDHR)</w:t>
      </w:r>
      <w:bookmarkStart w:id="7" w:name="_Ref479446922"/>
      <w:r w:rsidRPr="00A47AFB">
        <w:rPr>
          <w:rStyle w:val="FootnoteReference"/>
          <w:lang w:val="en-GB"/>
        </w:rPr>
        <w:footnoteReference w:id="10"/>
      </w:r>
      <w:bookmarkEnd w:id="7"/>
      <w:r w:rsidRPr="00A47AFB">
        <w:rPr>
          <w:lang w:val="en-GB"/>
        </w:rPr>
        <w:t xml:space="preserve">, Art.12(4) International Covenant </w:t>
      </w:r>
      <w:proofErr w:type="spellStart"/>
      <w:r w:rsidRPr="00A47AFB">
        <w:rPr>
          <w:lang w:val="en-GB"/>
        </w:rPr>
        <w:t>of</w:t>
      </w:r>
      <w:proofErr w:type="spellEnd"/>
      <w:r w:rsidRPr="00A47AFB">
        <w:rPr>
          <w:lang w:val="en-GB"/>
        </w:rPr>
        <w:t xml:space="preserve"> Civil and Political Rights(ICCPR)</w:t>
      </w:r>
      <w:bookmarkStart w:id="8" w:name="_Ref479447098"/>
      <w:r w:rsidRPr="00A47AFB">
        <w:rPr>
          <w:rStyle w:val="FootnoteReference"/>
          <w:lang w:val="en-GB"/>
        </w:rPr>
        <w:footnoteReference w:id="11"/>
      </w:r>
      <w:bookmarkEnd w:id="8"/>
      <w:r w:rsidRPr="00A47AFB">
        <w:rPr>
          <w:lang w:val="en-GB"/>
        </w:rPr>
        <w:t>, and Art.3(2) European Convention of Human Rights(ECHR)</w:t>
      </w:r>
      <w:r w:rsidRPr="00A47AFB">
        <w:rPr>
          <w:rStyle w:val="FootnoteReference"/>
          <w:lang w:val="en-GB"/>
        </w:rPr>
        <w:footnoteReference w:id="12"/>
      </w:r>
      <w:r w:rsidRPr="00A47AFB">
        <w:rPr>
          <w:lang w:val="en-GB"/>
        </w:rPr>
        <w:t>, etc</w:t>
      </w:r>
      <w:r w:rsidRPr="00A47AFB">
        <w:rPr>
          <w:rStyle w:val="FootnoteReference"/>
          <w:lang w:val="en-GB"/>
        </w:rPr>
        <w:footnoteReference w:id="13"/>
      </w:r>
      <w:r w:rsidRPr="00A47AFB">
        <w:rPr>
          <w:lang w:val="en-GB"/>
        </w:rPr>
        <w:t>. These rights engender a universal obligation for states to readmit their own nationals, albeit such obligation is implied</w:t>
      </w:r>
      <w:r w:rsidRPr="00A47AFB">
        <w:rPr>
          <w:rStyle w:val="FootnoteReference"/>
          <w:lang w:val="en-GB"/>
        </w:rPr>
        <w:footnoteReference w:id="14"/>
      </w:r>
      <w:r w:rsidRPr="00A47AFB">
        <w:rPr>
          <w:lang w:val="en-GB"/>
        </w:rPr>
        <w:t>. The readmission duty is crucial in protecting a State’s sovereign right to regulate</w:t>
      </w:r>
      <w:r w:rsidR="00EC2DBE" w:rsidRPr="00A47AFB">
        <w:rPr>
          <w:lang w:val="en-GB"/>
        </w:rPr>
        <w:t xml:space="preserve"> the</w:t>
      </w:r>
      <w:r w:rsidRPr="00A47AFB">
        <w:rPr>
          <w:lang w:val="en-GB"/>
        </w:rPr>
        <w:t xml:space="preserve"> entry and presence of aliens</w:t>
      </w:r>
      <w:r w:rsidRPr="00A47AFB">
        <w:rPr>
          <w:rStyle w:val="FootnoteReference"/>
          <w:lang w:val="en-GB"/>
        </w:rPr>
        <w:footnoteReference w:id="15"/>
      </w:r>
      <w:r w:rsidRPr="00A47AFB">
        <w:rPr>
          <w:lang w:val="en-GB"/>
        </w:rPr>
        <w:t>. Considering the universal acceptance of this obligation, states rarely refuse readmission o</w:t>
      </w:r>
      <w:r w:rsidR="00EC2DBE" w:rsidRPr="00A47AFB">
        <w:rPr>
          <w:lang w:val="en-GB"/>
        </w:rPr>
        <w:t>f their own nationals,</w:t>
      </w:r>
      <w:r w:rsidRPr="00A47AFB">
        <w:rPr>
          <w:lang w:val="en-GB"/>
        </w:rPr>
        <w:t xml:space="preserve"> </w:t>
      </w:r>
      <w:proofErr w:type="gramStart"/>
      <w:r w:rsidRPr="00A47AFB">
        <w:rPr>
          <w:lang w:val="en-GB"/>
        </w:rPr>
        <w:t>provided that</w:t>
      </w:r>
      <w:proofErr w:type="gramEnd"/>
      <w:r w:rsidRPr="00A47AFB">
        <w:rPr>
          <w:lang w:val="en-GB"/>
        </w:rPr>
        <w:t xml:space="preserve"> nationality can be established</w:t>
      </w:r>
      <w:r w:rsidR="0088380F" w:rsidRPr="00A47AFB">
        <w:rPr>
          <w:lang w:val="en-GB"/>
        </w:rPr>
        <w:t>.</w:t>
      </w:r>
      <w:r w:rsidRPr="00A47AFB">
        <w:rPr>
          <w:lang w:val="en-GB"/>
        </w:rPr>
        <w:t xml:space="preserve"> </w:t>
      </w:r>
      <w:r w:rsidR="00A7417B" w:rsidRPr="00A47AFB">
        <w:rPr>
          <w:lang w:val="en-GB"/>
        </w:rPr>
        <w:t>However, s</w:t>
      </w:r>
      <w:r w:rsidR="008565C9" w:rsidRPr="00A47AFB">
        <w:rPr>
          <w:lang w:val="en-GB"/>
        </w:rPr>
        <w:t>tates, especially those unwilling to readmit people from contested groups,</w:t>
      </w:r>
      <w:r w:rsidR="00EC2DBE" w:rsidRPr="00A47AFB">
        <w:rPr>
          <w:lang w:val="en-GB"/>
        </w:rPr>
        <w:t xml:space="preserve"> can</w:t>
      </w:r>
      <w:r w:rsidR="008565C9" w:rsidRPr="00A47AFB">
        <w:rPr>
          <w:lang w:val="en-GB"/>
        </w:rPr>
        <w:t xml:space="preserve"> easily circumvent this obligation</w:t>
      </w:r>
      <w:r w:rsidRPr="00A47AFB">
        <w:rPr>
          <w:lang w:val="en-GB"/>
        </w:rPr>
        <w:t>. They often cite insufficient documentation as the main reason, thereby curtailing</w:t>
      </w:r>
      <w:r w:rsidR="00A7417B" w:rsidRPr="00A47AFB">
        <w:rPr>
          <w:lang w:val="en-GB"/>
        </w:rPr>
        <w:t xml:space="preserve"> Sending</w:t>
      </w:r>
      <w:r w:rsidRPr="00A47AFB">
        <w:rPr>
          <w:lang w:val="en-GB"/>
        </w:rPr>
        <w:t xml:space="preserve"> States’ sovereign right to expel illegal aliens</w:t>
      </w:r>
      <w:bookmarkStart w:id="9" w:name="_Ref478579224"/>
      <w:r w:rsidR="0088380F" w:rsidRPr="00A47AFB">
        <w:rPr>
          <w:rStyle w:val="FootnoteReference"/>
          <w:lang w:val="en-GB"/>
        </w:rPr>
        <w:footnoteReference w:id="16"/>
      </w:r>
      <w:bookmarkEnd w:id="9"/>
      <w:r w:rsidRPr="00A47AFB">
        <w:rPr>
          <w:lang w:val="en-GB"/>
        </w:rPr>
        <w:t>.</w:t>
      </w:r>
    </w:p>
    <w:p w14:paraId="08860035" w14:textId="552D0259" w:rsidR="00920E82" w:rsidRPr="00A47AFB" w:rsidRDefault="00920E82" w:rsidP="008A7993">
      <w:pPr>
        <w:spacing w:after="240" w:line="360" w:lineRule="auto"/>
        <w:ind w:firstLine="720"/>
        <w:jc w:val="both"/>
        <w:rPr>
          <w:lang w:val="en-GB"/>
        </w:rPr>
      </w:pPr>
      <w:r w:rsidRPr="00A47AFB">
        <w:rPr>
          <w:lang w:val="en-GB"/>
        </w:rPr>
        <w:t xml:space="preserve">In response, readmission agreements – legally binding bilateral agreements - were implemented to codify the readmission obligation, and clarify procedural rules concerning </w:t>
      </w:r>
      <w:r w:rsidRPr="00A47AFB">
        <w:rPr>
          <w:lang w:val="en-GB"/>
        </w:rPr>
        <w:lastRenderedPageBreak/>
        <w:t>readmission of illegal aliens. The agreements include a list of means of evidence that requires the Receiving Contracting State to recognise the expelled alien’s nationality, and an obligation to issue travel documents within a certain timeframe</w:t>
      </w:r>
      <w:bookmarkStart w:id="10" w:name="_Ref479445870"/>
      <w:r w:rsidRPr="00A47AFB">
        <w:rPr>
          <w:rStyle w:val="FootnoteReference"/>
          <w:lang w:val="en-GB"/>
        </w:rPr>
        <w:footnoteReference w:id="17"/>
      </w:r>
      <w:bookmarkEnd w:id="10"/>
      <w:r w:rsidRPr="00A47AFB">
        <w:rPr>
          <w:lang w:val="en-GB"/>
        </w:rPr>
        <w:t>. Readmission agreements also contain punitive measures for non-compliance, such as suspending compensatory benefits and aid programs – which proved effective to curb secondary refugee movements</w:t>
      </w:r>
      <w:r w:rsidRPr="00A47AFB">
        <w:rPr>
          <w:rStyle w:val="FootnoteReference"/>
          <w:lang w:val="en-GB"/>
        </w:rPr>
        <w:footnoteReference w:id="18"/>
      </w:r>
      <w:r w:rsidRPr="00A47AFB">
        <w:rPr>
          <w:lang w:val="en-GB"/>
        </w:rPr>
        <w:t xml:space="preserve">. </w:t>
      </w:r>
    </w:p>
    <w:p w14:paraId="28B29665" w14:textId="46B0040D" w:rsidR="00A7417B" w:rsidRPr="00A47AFB" w:rsidRDefault="00920E82" w:rsidP="00B33BB8">
      <w:pPr>
        <w:spacing w:line="360" w:lineRule="auto"/>
        <w:ind w:firstLine="720"/>
        <w:jc w:val="both"/>
        <w:rPr>
          <w:lang w:val="en-GB"/>
        </w:rPr>
      </w:pPr>
      <w:r w:rsidRPr="00A47AFB">
        <w:rPr>
          <w:lang w:val="en-GB"/>
        </w:rPr>
        <w:t>Readmission agreements were initially conducted between individu</w:t>
      </w:r>
      <w:r w:rsidR="00A250BF" w:rsidRPr="00A47AFB">
        <w:rPr>
          <w:lang w:val="en-GB"/>
        </w:rPr>
        <w:t>al EU member-states and the non</w:t>
      </w:r>
      <w:r w:rsidRPr="00A47AFB">
        <w:rPr>
          <w:lang w:val="en-GB"/>
        </w:rPr>
        <w:t>–EU country, but later became an explicit</w:t>
      </w:r>
      <w:r w:rsidR="00B33BB8" w:rsidRPr="00A47AFB">
        <w:rPr>
          <w:lang w:val="en-GB"/>
        </w:rPr>
        <w:t xml:space="preserve"> EU</w:t>
      </w:r>
      <w:r w:rsidRPr="00A47AFB">
        <w:rPr>
          <w:lang w:val="en-GB"/>
        </w:rPr>
        <w:t xml:space="preserve"> competence under the Lisbon Treaty</w:t>
      </w:r>
      <w:r w:rsidR="00952E20" w:rsidRPr="00A47AFB">
        <w:rPr>
          <w:rStyle w:val="FootnoteReference"/>
          <w:lang w:val="en-GB"/>
        </w:rPr>
        <w:footnoteReference w:id="19"/>
      </w:r>
      <w:r w:rsidRPr="00A47AFB">
        <w:rPr>
          <w:lang w:val="en-GB"/>
        </w:rPr>
        <w:t>. Art.79(3) Treaty on the Functioning of the European Union (TFEU)</w:t>
      </w:r>
      <w:r w:rsidR="00952E20" w:rsidRPr="00A47AFB">
        <w:rPr>
          <w:rStyle w:val="FootnoteReference"/>
          <w:lang w:val="en-GB"/>
        </w:rPr>
        <w:footnoteReference w:id="20"/>
      </w:r>
      <w:r w:rsidRPr="00A47AFB">
        <w:rPr>
          <w:lang w:val="en-GB"/>
        </w:rPr>
        <w:t xml:space="preserve"> also extended expulsion of illegal non-EU nationals to encompass all non-EU nationals originating from that state, including transiting third country nationals</w:t>
      </w:r>
      <w:r w:rsidR="002B7A82" w:rsidRPr="00A47AFB">
        <w:rPr>
          <w:rStyle w:val="FootnoteReference"/>
          <w:lang w:val="en-GB"/>
        </w:rPr>
        <w:footnoteReference w:id="21"/>
      </w:r>
      <w:r w:rsidRPr="00A47AFB">
        <w:rPr>
          <w:lang w:val="en-GB"/>
        </w:rPr>
        <w:t>. While there is no customary law governing the obligation to readmit non-nationals to a third country, there is no law exp</w:t>
      </w:r>
      <w:r w:rsidR="00EC2DBE" w:rsidRPr="00A47AFB">
        <w:rPr>
          <w:lang w:val="en-GB"/>
        </w:rPr>
        <w:t>licitly prohibiting it, and so</w:t>
      </w:r>
      <w:r w:rsidRPr="00A47AFB">
        <w:rPr>
          <w:lang w:val="en-GB"/>
        </w:rPr>
        <w:t xml:space="preserve"> the policy-shift does not conflict with the international framework on readmission practices</w:t>
      </w:r>
      <w:r w:rsidRPr="00A47AFB">
        <w:rPr>
          <w:rStyle w:val="FootnoteReference"/>
          <w:lang w:val="en-GB"/>
        </w:rPr>
        <w:footnoteReference w:id="22"/>
      </w:r>
      <w:r w:rsidRPr="00A47AFB">
        <w:rPr>
          <w:lang w:val="en-GB"/>
        </w:rPr>
        <w:t xml:space="preserve">. </w:t>
      </w:r>
    </w:p>
    <w:p w14:paraId="2310B645" w14:textId="422EFD92" w:rsidR="00920E82" w:rsidRPr="00773FA8" w:rsidRDefault="00920E82" w:rsidP="00A47AFB">
      <w:pPr>
        <w:pStyle w:val="Heading2"/>
        <w:rPr>
          <w:rFonts w:eastAsia="Malgun Gothic"/>
          <w:b/>
          <w:color w:val="auto"/>
          <w:lang w:val="fr-FR" w:eastAsia="ko-KR"/>
        </w:rPr>
      </w:pPr>
      <w:r w:rsidRPr="00773FA8">
        <w:rPr>
          <w:rFonts w:eastAsia="PMingLiU"/>
          <w:b/>
          <w:color w:val="auto"/>
          <w:lang w:val="fr-FR" w:eastAsia="zh-TW"/>
        </w:rPr>
        <w:t xml:space="preserve">II.2. </w:t>
      </w:r>
      <w:r w:rsidRPr="00773FA8">
        <w:rPr>
          <w:rFonts w:eastAsia="Malgun Gothic"/>
          <w:b/>
          <w:color w:val="auto"/>
          <w:lang w:val="fr-FR" w:eastAsia="ko-KR"/>
        </w:rPr>
        <w:t>Non-refoulement</w:t>
      </w:r>
      <w:r w:rsidR="00AC7B70" w:rsidRPr="00773FA8">
        <w:rPr>
          <w:rFonts w:eastAsia="Malgun Gothic"/>
          <w:b/>
          <w:color w:val="auto"/>
          <w:lang w:val="fr-FR" w:eastAsia="ko-KR"/>
        </w:rPr>
        <w:t xml:space="preserve"> </w:t>
      </w:r>
      <w:proofErr w:type="spellStart"/>
      <w:r w:rsidR="00AC7B70" w:rsidRPr="00773FA8">
        <w:rPr>
          <w:rFonts w:eastAsia="Malgun Gothic"/>
          <w:b/>
          <w:color w:val="auto"/>
          <w:lang w:val="fr-FR" w:eastAsia="ko-KR"/>
        </w:rPr>
        <w:t>Principle</w:t>
      </w:r>
      <w:proofErr w:type="spellEnd"/>
    </w:p>
    <w:p w14:paraId="532D32A8" w14:textId="67CA40CA" w:rsidR="00920E82" w:rsidRPr="00773FA8" w:rsidRDefault="00920E82" w:rsidP="00920E82">
      <w:pPr>
        <w:rPr>
          <w:b/>
          <w:u w:val="single"/>
          <w:lang w:val="fr-FR" w:eastAsia="ko-KR"/>
        </w:rPr>
      </w:pPr>
      <w:r w:rsidRPr="00773FA8">
        <w:rPr>
          <w:lang w:val="fr-FR" w:eastAsia="ko-KR"/>
        </w:rPr>
        <w:tab/>
      </w:r>
      <w:r w:rsidRPr="00773FA8">
        <w:rPr>
          <w:b/>
          <w:u w:val="single"/>
          <w:lang w:val="fr-FR" w:eastAsia="ko-KR"/>
        </w:rPr>
        <w:t xml:space="preserve">International </w:t>
      </w:r>
      <w:r w:rsidR="00A47AFB" w:rsidRPr="00773FA8">
        <w:rPr>
          <w:b/>
          <w:u w:val="single"/>
          <w:lang w:val="fr-FR" w:eastAsia="ko-KR"/>
        </w:rPr>
        <w:t>Framework</w:t>
      </w:r>
    </w:p>
    <w:p w14:paraId="07FD3CB6" w14:textId="40267181" w:rsidR="00920E82" w:rsidRPr="00A47AFB" w:rsidRDefault="00920E82" w:rsidP="00920E82">
      <w:pPr>
        <w:spacing w:after="240" w:line="360" w:lineRule="auto"/>
        <w:ind w:firstLine="360"/>
        <w:jc w:val="both"/>
        <w:rPr>
          <w:lang w:val="en-GB"/>
        </w:rPr>
      </w:pPr>
      <w:r w:rsidRPr="00A47AFB">
        <w:rPr>
          <w:lang w:val="en-GB"/>
        </w:rPr>
        <w:t xml:space="preserve">The sovereign right to </w:t>
      </w:r>
      <w:r w:rsidR="00881E08" w:rsidRPr="00A47AFB">
        <w:rPr>
          <w:lang w:val="en-GB"/>
        </w:rPr>
        <w:t xml:space="preserve">expel </w:t>
      </w:r>
      <w:r w:rsidRPr="00A47AFB">
        <w:rPr>
          <w:lang w:val="en-GB"/>
        </w:rPr>
        <w:t>is restricted by the International and European framework</w:t>
      </w:r>
      <w:r w:rsidR="00A7417B" w:rsidRPr="00A47AFB">
        <w:rPr>
          <w:lang w:val="en-GB"/>
        </w:rPr>
        <w:t xml:space="preserve"> on non-</w:t>
      </w:r>
      <w:proofErr w:type="spellStart"/>
      <w:r w:rsidR="00A7417B" w:rsidRPr="00A47AFB">
        <w:rPr>
          <w:lang w:val="en-GB"/>
        </w:rPr>
        <w:t>refoulement</w:t>
      </w:r>
      <w:proofErr w:type="spellEnd"/>
      <w:r w:rsidR="00A7417B" w:rsidRPr="00A47AFB">
        <w:rPr>
          <w:lang w:val="en-GB"/>
        </w:rPr>
        <w:t xml:space="preserve"> that prohibits expulsion of </w:t>
      </w:r>
      <w:r w:rsidR="001A4501" w:rsidRPr="00A47AFB">
        <w:rPr>
          <w:lang w:val="en-GB"/>
        </w:rPr>
        <w:t>“</w:t>
      </w:r>
      <w:r w:rsidR="00A7417B" w:rsidRPr="00A47AFB">
        <w:rPr>
          <w:lang w:val="en-GB"/>
        </w:rPr>
        <w:t>persons risking</w:t>
      </w:r>
      <w:r w:rsidRPr="00A47AFB">
        <w:rPr>
          <w:lang w:val="en-GB"/>
        </w:rPr>
        <w:t xml:space="preserve"> persecution based on race, religion, nationality, membership of a particular social group or political </w:t>
      </w:r>
      <w:r w:rsidR="00A7417B" w:rsidRPr="00A47AFB">
        <w:rPr>
          <w:lang w:val="en-GB"/>
        </w:rPr>
        <w:t>opinion”</w:t>
      </w:r>
      <w:bookmarkStart w:id="11" w:name="_Ref479446883"/>
      <w:r w:rsidRPr="00A47AFB">
        <w:rPr>
          <w:rStyle w:val="FootnoteReference"/>
          <w:lang w:val="en-GB"/>
        </w:rPr>
        <w:footnoteReference w:id="23"/>
      </w:r>
      <w:bookmarkEnd w:id="11"/>
      <w:r w:rsidRPr="00A47AFB">
        <w:rPr>
          <w:lang w:val="en-GB"/>
        </w:rPr>
        <w:t>. Non-</w:t>
      </w:r>
      <w:proofErr w:type="spellStart"/>
      <w:r w:rsidRPr="00A47AFB">
        <w:rPr>
          <w:lang w:val="en-GB"/>
        </w:rPr>
        <w:t>refoulement</w:t>
      </w:r>
      <w:proofErr w:type="spellEnd"/>
      <w:r w:rsidRPr="00A47AFB">
        <w:rPr>
          <w:lang w:val="en-GB"/>
        </w:rPr>
        <w:t xml:space="preserve"> is the cornerstone of international refugee and human rights law, enshrined in Art.33(1) of the Refugee Convention</w:t>
      </w:r>
      <w:r w:rsidR="008565C9" w:rsidRPr="00A47AFB">
        <w:rPr>
          <w:lang w:val="en-GB"/>
        </w:rPr>
        <w:t>(RC)</w:t>
      </w:r>
      <w:r w:rsidRPr="00A47AFB">
        <w:rPr>
          <w:rStyle w:val="FootnoteReference"/>
          <w:lang w:val="en-GB"/>
        </w:rPr>
        <w:footnoteReference w:id="24"/>
      </w:r>
      <w:r w:rsidRPr="00A47AFB">
        <w:rPr>
          <w:lang w:val="en-GB"/>
        </w:rPr>
        <w:t xml:space="preserve"> and a plethora of human rights treaties, including Art.14(1) UDHR</w:t>
      </w:r>
      <w:r w:rsidRPr="00A47AFB">
        <w:rPr>
          <w:rStyle w:val="FootnoteReference"/>
          <w:lang w:val="en-GB"/>
        </w:rPr>
        <w:footnoteReference w:id="25"/>
      </w:r>
      <w:r w:rsidRPr="00A47AFB">
        <w:rPr>
          <w:lang w:val="en-GB"/>
        </w:rPr>
        <w:t>, Art.3 Convention Agains</w:t>
      </w:r>
      <w:r w:rsidR="005B330C" w:rsidRPr="00A47AFB">
        <w:rPr>
          <w:lang w:val="en-GB"/>
        </w:rPr>
        <w:t>t Torture(CAT)</w:t>
      </w:r>
      <w:r w:rsidR="00F436ED" w:rsidRPr="00A47AFB">
        <w:rPr>
          <w:rStyle w:val="FootnoteReference"/>
          <w:lang w:val="en-GB"/>
        </w:rPr>
        <w:footnoteReference w:id="26"/>
      </w:r>
      <w:r w:rsidR="005B330C" w:rsidRPr="00A47AFB">
        <w:rPr>
          <w:lang w:val="en-GB"/>
        </w:rPr>
        <w:t>, and Art.7 ICCPR</w:t>
      </w:r>
      <w:r w:rsidRPr="00A47AFB">
        <w:rPr>
          <w:rStyle w:val="FootnoteReference"/>
          <w:lang w:val="en-GB"/>
        </w:rPr>
        <w:footnoteReference w:id="27"/>
      </w:r>
      <w:r w:rsidRPr="00A47AFB">
        <w:rPr>
          <w:lang w:val="en-GB"/>
        </w:rPr>
        <w:t>, etc. Human rights treaties, especially the ICCPR, further consolidated non-</w:t>
      </w:r>
      <w:proofErr w:type="spellStart"/>
      <w:r w:rsidRPr="00A47AFB">
        <w:rPr>
          <w:lang w:val="en-GB"/>
        </w:rPr>
        <w:t>refoulement</w:t>
      </w:r>
      <w:proofErr w:type="spellEnd"/>
      <w:r w:rsidRPr="00A47AFB">
        <w:rPr>
          <w:lang w:val="en-GB"/>
        </w:rPr>
        <w:t xml:space="preserve"> to include absolute </w:t>
      </w:r>
      <w:r w:rsidRPr="00A47AFB">
        <w:rPr>
          <w:lang w:val="en-GB"/>
        </w:rPr>
        <w:lastRenderedPageBreak/>
        <w:t>prohibition of expulsion to situations where th</w:t>
      </w:r>
      <w:r w:rsidR="00EC2DBE" w:rsidRPr="00A47AFB">
        <w:rPr>
          <w:lang w:val="en-GB"/>
        </w:rPr>
        <w:t>ere is a real risk of torture,</w:t>
      </w:r>
      <w:r w:rsidRPr="00A47AFB">
        <w:rPr>
          <w:lang w:val="en-GB"/>
        </w:rPr>
        <w:t xml:space="preserve"> inhumane or degrading</w:t>
      </w:r>
      <w:bookmarkStart w:id="12" w:name="_Ref478328477"/>
      <w:r w:rsidRPr="00A47AFB">
        <w:rPr>
          <w:lang w:val="en-GB"/>
        </w:rPr>
        <w:t xml:space="preserve"> treatment</w:t>
      </w:r>
      <w:bookmarkStart w:id="13" w:name="_Ref479447745"/>
      <w:r w:rsidRPr="00A47AFB">
        <w:rPr>
          <w:rStyle w:val="FootnoteReference"/>
          <w:lang w:val="en-GB"/>
        </w:rPr>
        <w:footnoteReference w:id="28"/>
      </w:r>
      <w:bookmarkEnd w:id="12"/>
      <w:bookmarkEnd w:id="13"/>
      <w:r w:rsidRPr="00A47AFB">
        <w:rPr>
          <w:lang w:val="en-GB"/>
        </w:rPr>
        <w:t xml:space="preserve">. There is widespread state practice and </w:t>
      </w:r>
      <w:proofErr w:type="spellStart"/>
      <w:r w:rsidRPr="00A47AFB">
        <w:rPr>
          <w:i/>
          <w:lang w:val="en-GB"/>
        </w:rPr>
        <w:t>opino</w:t>
      </w:r>
      <w:proofErr w:type="spellEnd"/>
      <w:r w:rsidRPr="00A47AFB">
        <w:rPr>
          <w:i/>
          <w:lang w:val="en-GB"/>
        </w:rPr>
        <w:t xml:space="preserve"> juris</w:t>
      </w:r>
      <w:r w:rsidRPr="00A47AFB">
        <w:rPr>
          <w:lang w:val="en-GB"/>
        </w:rPr>
        <w:t xml:space="preserve"> in </w:t>
      </w:r>
      <w:r w:rsidR="00A7417B" w:rsidRPr="00A47AFB">
        <w:rPr>
          <w:lang w:val="en-GB"/>
        </w:rPr>
        <w:t>support of non-</w:t>
      </w:r>
      <w:proofErr w:type="spellStart"/>
      <w:r w:rsidR="00A7417B" w:rsidRPr="00A47AFB">
        <w:rPr>
          <w:lang w:val="en-GB"/>
        </w:rPr>
        <w:t>refoulement</w:t>
      </w:r>
      <w:proofErr w:type="spellEnd"/>
      <w:r w:rsidR="00A7417B" w:rsidRPr="00A47AFB">
        <w:rPr>
          <w:lang w:val="en-GB"/>
        </w:rPr>
        <w:t>, and so it can be considered a</w:t>
      </w:r>
      <w:r w:rsidRPr="00A47AFB">
        <w:rPr>
          <w:lang w:val="en-GB"/>
        </w:rPr>
        <w:t xml:space="preserve"> customary</w:t>
      </w:r>
      <w:r w:rsidR="00A7417B" w:rsidRPr="00A47AFB">
        <w:rPr>
          <w:lang w:val="en-GB"/>
        </w:rPr>
        <w:t xml:space="preserve"> international norm</w:t>
      </w:r>
      <w:r w:rsidRPr="00A47AFB">
        <w:rPr>
          <w:lang w:val="en-GB"/>
        </w:rPr>
        <w:t>. Some have even argued that non-</w:t>
      </w:r>
      <w:proofErr w:type="spellStart"/>
      <w:r w:rsidRPr="00A47AFB">
        <w:rPr>
          <w:lang w:val="en-GB"/>
        </w:rPr>
        <w:t>refoulement</w:t>
      </w:r>
      <w:proofErr w:type="spellEnd"/>
      <w:r w:rsidRPr="00A47AFB">
        <w:rPr>
          <w:lang w:val="en-GB"/>
        </w:rPr>
        <w:t xml:space="preserve"> is a </w:t>
      </w:r>
      <w:r w:rsidRPr="00A47AFB">
        <w:rPr>
          <w:i/>
          <w:lang w:val="en-GB"/>
        </w:rPr>
        <w:t xml:space="preserve">jus </w:t>
      </w:r>
      <w:proofErr w:type="spellStart"/>
      <w:r w:rsidRPr="00A47AFB">
        <w:rPr>
          <w:i/>
          <w:lang w:val="en-GB"/>
        </w:rPr>
        <w:t>cogens</w:t>
      </w:r>
      <w:proofErr w:type="spellEnd"/>
      <w:r w:rsidRPr="00A47AFB">
        <w:rPr>
          <w:lang w:val="en-GB"/>
        </w:rPr>
        <w:t xml:space="preserve"> norm</w:t>
      </w:r>
      <w:r w:rsidR="00694F89" w:rsidRPr="00A47AFB">
        <w:rPr>
          <w:rStyle w:val="FootnoteReference"/>
          <w:lang w:val="en-GB"/>
        </w:rPr>
        <w:footnoteReference w:id="29"/>
      </w:r>
      <w:r w:rsidRPr="00A47AFB">
        <w:rPr>
          <w:lang w:val="en-GB"/>
        </w:rPr>
        <w:t xml:space="preserve">. </w:t>
      </w:r>
    </w:p>
    <w:p w14:paraId="190ED841" w14:textId="5AB47A8F" w:rsidR="00920E82" w:rsidRPr="00A47AFB" w:rsidRDefault="00A47AFB" w:rsidP="00920E82">
      <w:pPr>
        <w:spacing w:line="360" w:lineRule="auto"/>
        <w:ind w:firstLine="360"/>
        <w:jc w:val="both"/>
        <w:rPr>
          <w:b/>
          <w:u w:val="single"/>
          <w:lang w:val="en-GB"/>
        </w:rPr>
      </w:pPr>
      <w:r w:rsidRPr="00A47AFB">
        <w:rPr>
          <w:b/>
          <w:u w:val="single"/>
          <w:lang w:val="en-GB"/>
        </w:rPr>
        <w:t>European Framework: European Convention on Human Rights</w:t>
      </w:r>
    </w:p>
    <w:p w14:paraId="698AE9B0" w14:textId="5CD76DD3" w:rsidR="00920E82" w:rsidRPr="00A47AFB" w:rsidRDefault="00920E82" w:rsidP="00F87BA1">
      <w:pPr>
        <w:spacing w:after="240" w:line="360" w:lineRule="auto"/>
        <w:ind w:firstLine="360"/>
        <w:jc w:val="both"/>
        <w:rPr>
          <w:lang w:val="en-GB"/>
        </w:rPr>
      </w:pPr>
      <w:r w:rsidRPr="00A47AFB">
        <w:rPr>
          <w:lang w:val="en-GB"/>
        </w:rPr>
        <w:t>The ECtHR, which takes an even more proactive role in challenging aberrant national practices, prohibits expulsion in cases where the person will face serious harm contrary to Art.2 – right to life - and Art.3 – freedom from inhumane and degrading treatment or punishment of the ECHR</w:t>
      </w:r>
      <w:bookmarkStart w:id="14" w:name="_Ref479447950"/>
      <w:r w:rsidRPr="00A47AFB">
        <w:rPr>
          <w:rStyle w:val="FootnoteReference"/>
          <w:lang w:val="en-GB"/>
        </w:rPr>
        <w:footnoteReference w:id="30"/>
      </w:r>
      <w:bookmarkEnd w:id="14"/>
      <w:r w:rsidRPr="00A47AFB">
        <w:rPr>
          <w:lang w:val="en-GB"/>
        </w:rPr>
        <w:t>. While the ECHR is silent on non-</w:t>
      </w:r>
      <w:proofErr w:type="spellStart"/>
      <w:r w:rsidRPr="00A47AFB">
        <w:rPr>
          <w:lang w:val="en-GB"/>
        </w:rPr>
        <w:t>refoulement</w:t>
      </w:r>
      <w:proofErr w:type="spellEnd"/>
      <w:r w:rsidRPr="00A47AFB">
        <w:rPr>
          <w:lang w:val="en-GB"/>
        </w:rPr>
        <w:t xml:space="preserve">, its </w:t>
      </w:r>
      <w:r w:rsidR="008565C9" w:rsidRPr="00A47AFB">
        <w:rPr>
          <w:lang w:val="en-GB"/>
        </w:rPr>
        <w:t xml:space="preserve">jurisprudence </w:t>
      </w:r>
      <w:r w:rsidRPr="00A47AFB">
        <w:rPr>
          <w:lang w:val="en-GB"/>
        </w:rPr>
        <w:t>shows that the Convention could apply to instances of forced removal of an alien</w:t>
      </w:r>
      <w:r w:rsidRPr="00A47AFB">
        <w:rPr>
          <w:rStyle w:val="FootnoteReference"/>
          <w:lang w:val="en-GB"/>
        </w:rPr>
        <w:footnoteReference w:id="31"/>
      </w:r>
      <w:r w:rsidRPr="00A47AFB">
        <w:rPr>
          <w:lang w:val="en-GB"/>
        </w:rPr>
        <w:t xml:space="preserve">. </w:t>
      </w:r>
      <w:proofErr w:type="spellStart"/>
      <w:r w:rsidRPr="00A47AFB">
        <w:rPr>
          <w:i/>
          <w:lang w:val="en-GB"/>
        </w:rPr>
        <w:t>Soering</w:t>
      </w:r>
      <w:proofErr w:type="spellEnd"/>
      <w:r w:rsidRPr="00A47AFB">
        <w:rPr>
          <w:i/>
          <w:lang w:val="en-GB"/>
        </w:rPr>
        <w:t xml:space="preserve"> v. UK</w:t>
      </w:r>
      <w:r w:rsidRPr="00A47AFB">
        <w:rPr>
          <w:lang w:val="en-GB"/>
        </w:rPr>
        <w:t xml:space="preserve"> is a landmark example where the ECtHR prevented the extradition of a British national to the US, where he risked inhumane or degrading treatment contra</w:t>
      </w:r>
      <w:r w:rsidR="00AC7B70" w:rsidRPr="00A47AFB">
        <w:rPr>
          <w:lang w:val="en-GB"/>
        </w:rPr>
        <w:t>ry to Art.</w:t>
      </w:r>
      <w:r w:rsidR="007F3ADE" w:rsidRPr="00A47AFB">
        <w:rPr>
          <w:lang w:val="en-GB"/>
        </w:rPr>
        <w:t>3</w:t>
      </w:r>
      <w:r w:rsidRPr="00A47AFB">
        <w:rPr>
          <w:lang w:val="en-GB"/>
        </w:rPr>
        <w:t>ECHR</w:t>
      </w:r>
      <w:r w:rsidRPr="00A47AFB">
        <w:rPr>
          <w:rStyle w:val="FootnoteReference"/>
          <w:lang w:val="en-GB"/>
        </w:rPr>
        <w:footnoteReference w:id="32"/>
      </w:r>
      <w:r w:rsidRPr="00A47AFB">
        <w:rPr>
          <w:lang w:val="en-GB"/>
        </w:rPr>
        <w:t>. The ECtHR contended that ECHR provisions must be interpreted with due consideration to the developing rules of international law in relation to non-</w:t>
      </w:r>
      <w:proofErr w:type="spellStart"/>
      <w:r w:rsidRPr="00A47AFB">
        <w:rPr>
          <w:lang w:val="en-GB"/>
        </w:rPr>
        <w:t>refoulement</w:t>
      </w:r>
      <w:proofErr w:type="spellEnd"/>
      <w:r w:rsidRPr="00A47AFB">
        <w:rPr>
          <w:rStyle w:val="FootnoteReference"/>
          <w:lang w:val="en-GB"/>
        </w:rPr>
        <w:footnoteReference w:id="33"/>
      </w:r>
      <w:r w:rsidRPr="00A47AFB">
        <w:rPr>
          <w:lang w:val="en-GB"/>
        </w:rPr>
        <w:t xml:space="preserve">. The prohibition of forced removal based on Art.3 later extended to expulsion of failed asylum seekers and other aliens who are considered undesirable </w:t>
      </w:r>
      <w:r w:rsidR="00547B7E" w:rsidRPr="00A47AFB">
        <w:rPr>
          <w:lang w:val="en-GB"/>
        </w:rPr>
        <w:t>in</w:t>
      </w:r>
      <w:r w:rsidRPr="00A47AFB">
        <w:rPr>
          <w:lang w:val="en-GB"/>
        </w:rPr>
        <w:t xml:space="preserve"> </w:t>
      </w:r>
      <w:r w:rsidRPr="00A47AFB">
        <w:rPr>
          <w:i/>
          <w:lang w:val="en-GB"/>
        </w:rPr>
        <w:t xml:space="preserve">Cruz </w:t>
      </w:r>
      <w:proofErr w:type="spellStart"/>
      <w:r w:rsidRPr="00A47AFB">
        <w:rPr>
          <w:i/>
          <w:lang w:val="en-GB"/>
        </w:rPr>
        <w:t>Varas</w:t>
      </w:r>
      <w:proofErr w:type="spellEnd"/>
      <w:r w:rsidRPr="00A47AFB">
        <w:rPr>
          <w:i/>
          <w:lang w:val="en-GB"/>
        </w:rPr>
        <w:t xml:space="preserve"> v. Sweden</w:t>
      </w:r>
      <w:r w:rsidRPr="00A47AFB">
        <w:rPr>
          <w:rStyle w:val="FootnoteReference"/>
          <w:lang w:val="en-GB"/>
        </w:rPr>
        <w:footnoteReference w:id="34"/>
      </w:r>
      <w:r w:rsidRPr="00A47AFB">
        <w:rPr>
          <w:lang w:val="en-GB"/>
        </w:rPr>
        <w:t xml:space="preserve">, and subsequently in </w:t>
      </w:r>
      <w:proofErr w:type="spellStart"/>
      <w:r w:rsidRPr="00A47AFB">
        <w:rPr>
          <w:i/>
          <w:lang w:val="en-GB"/>
        </w:rPr>
        <w:t>Saadi</w:t>
      </w:r>
      <w:proofErr w:type="spellEnd"/>
      <w:r w:rsidRPr="00A47AFB">
        <w:rPr>
          <w:i/>
          <w:lang w:val="en-GB"/>
        </w:rPr>
        <w:t xml:space="preserve"> v. Italy</w:t>
      </w:r>
      <w:r w:rsidRPr="00A47AFB">
        <w:rPr>
          <w:rStyle w:val="FootnoteReference"/>
          <w:lang w:val="en-GB"/>
        </w:rPr>
        <w:footnoteReference w:id="35"/>
      </w:r>
      <w:r w:rsidRPr="00A47AFB">
        <w:rPr>
          <w:lang w:val="en-GB"/>
        </w:rPr>
        <w:t xml:space="preserve">. </w:t>
      </w:r>
    </w:p>
    <w:p w14:paraId="1133E7FF" w14:textId="0E5398C6" w:rsidR="00920E82" w:rsidRPr="00A47AFB" w:rsidRDefault="00A47AFB" w:rsidP="00920E82">
      <w:pPr>
        <w:spacing w:line="360" w:lineRule="auto"/>
        <w:ind w:firstLine="360"/>
        <w:jc w:val="both"/>
        <w:rPr>
          <w:b/>
          <w:sz w:val="28"/>
          <w:u w:val="single"/>
          <w:lang w:val="en-GB"/>
        </w:rPr>
      </w:pPr>
      <w:r w:rsidRPr="00A47AFB">
        <w:rPr>
          <w:b/>
          <w:u w:val="single"/>
          <w:lang w:val="en-GB"/>
        </w:rPr>
        <w:t xml:space="preserve">European Framework: the </w:t>
      </w:r>
      <w:r w:rsidR="00920E82" w:rsidRPr="00A47AFB">
        <w:rPr>
          <w:b/>
          <w:u w:val="single"/>
          <w:lang w:val="en-GB"/>
        </w:rPr>
        <w:t xml:space="preserve">EU Charter of Fundamental Rights. </w:t>
      </w:r>
    </w:p>
    <w:p w14:paraId="1A7D4863" w14:textId="72D54055" w:rsidR="00A47AFB" w:rsidRPr="00A47AFB" w:rsidRDefault="00920E82" w:rsidP="00A47AFB">
      <w:pPr>
        <w:spacing w:after="240" w:line="360" w:lineRule="auto"/>
        <w:ind w:firstLine="360"/>
        <w:jc w:val="both"/>
        <w:rPr>
          <w:lang w:val="en-GB"/>
        </w:rPr>
      </w:pPr>
      <w:r w:rsidRPr="00A47AFB">
        <w:rPr>
          <w:lang w:val="en-GB"/>
        </w:rPr>
        <w:t>While non-</w:t>
      </w:r>
      <w:proofErr w:type="spellStart"/>
      <w:r w:rsidRPr="00A47AFB">
        <w:rPr>
          <w:lang w:val="en-GB"/>
        </w:rPr>
        <w:t>refoulement</w:t>
      </w:r>
      <w:proofErr w:type="spellEnd"/>
      <w:r w:rsidRPr="00A47AFB">
        <w:rPr>
          <w:lang w:val="en-GB"/>
        </w:rPr>
        <w:t xml:space="preserve"> is not included in the founding texts, it is safeguarded in Art.19(2) of the Charter of Fundamental Rights of the European Union (the Charter)</w:t>
      </w:r>
      <w:bookmarkStart w:id="15" w:name="_Ref479465114"/>
      <w:r w:rsidRPr="00A47AFB">
        <w:rPr>
          <w:rStyle w:val="FootnoteReference"/>
          <w:lang w:val="en-GB"/>
        </w:rPr>
        <w:footnoteReference w:id="36"/>
      </w:r>
      <w:bookmarkEnd w:id="15"/>
      <w:r w:rsidRPr="00A47AFB">
        <w:rPr>
          <w:lang w:val="en-GB"/>
        </w:rPr>
        <w:t xml:space="preserve"> – which has received the status of primary law in the EU legal order following the Lisbon Treaty’s entry into force</w:t>
      </w:r>
      <w:r w:rsidRPr="00A47AFB">
        <w:rPr>
          <w:rStyle w:val="FootnoteReference"/>
          <w:lang w:val="en-GB"/>
        </w:rPr>
        <w:footnoteReference w:id="37"/>
      </w:r>
      <w:r w:rsidRPr="00A47AFB">
        <w:rPr>
          <w:lang w:val="en-GB"/>
        </w:rPr>
        <w:t>. Compared to the ECtHR, the EU Court of Justice(CJEU) jurisprudence on non-</w:t>
      </w:r>
      <w:proofErr w:type="spellStart"/>
      <w:r w:rsidRPr="00A47AFB">
        <w:rPr>
          <w:lang w:val="en-GB"/>
        </w:rPr>
        <w:lastRenderedPageBreak/>
        <w:t>refoulement</w:t>
      </w:r>
      <w:proofErr w:type="spellEnd"/>
      <w:r w:rsidRPr="00A47AFB">
        <w:rPr>
          <w:lang w:val="en-GB"/>
        </w:rPr>
        <w:t xml:space="preserve"> is nascent. Whether </w:t>
      </w:r>
      <w:r w:rsidR="00AC7B70" w:rsidRPr="00A47AFB">
        <w:rPr>
          <w:lang w:val="en-GB"/>
        </w:rPr>
        <w:t xml:space="preserve">the </w:t>
      </w:r>
      <w:r w:rsidRPr="00A47AFB">
        <w:rPr>
          <w:lang w:val="en-GB"/>
        </w:rPr>
        <w:t>CJEU will emulate the ECtHR jurisprudence on protection or extend it beyond the ECtHR minimum remains to be seen</w:t>
      </w:r>
      <w:r w:rsidRPr="00A47AFB">
        <w:rPr>
          <w:rStyle w:val="FootnoteReference"/>
          <w:lang w:val="en-GB"/>
        </w:rPr>
        <w:footnoteReference w:id="38"/>
      </w:r>
      <w:r w:rsidRPr="00A47AFB">
        <w:rPr>
          <w:lang w:val="en-GB"/>
        </w:rPr>
        <w:t>. While the C</w:t>
      </w:r>
      <w:r w:rsidR="00547B7E" w:rsidRPr="00A47AFB">
        <w:rPr>
          <w:lang w:val="en-GB"/>
        </w:rPr>
        <w:t>JEU is not bound by the ECHR, the Charter</w:t>
      </w:r>
      <w:r w:rsidRPr="00A47AFB">
        <w:rPr>
          <w:lang w:val="en-GB"/>
        </w:rPr>
        <w:t xml:space="preserve"> draws on </w:t>
      </w:r>
      <w:r w:rsidR="00AC7B70" w:rsidRPr="00A47AFB">
        <w:rPr>
          <w:lang w:val="en-GB"/>
        </w:rPr>
        <w:t xml:space="preserve">its </w:t>
      </w:r>
      <w:r w:rsidRPr="00A47AFB">
        <w:rPr>
          <w:lang w:val="en-GB"/>
        </w:rPr>
        <w:t>provisions</w:t>
      </w:r>
      <w:r w:rsidR="00547B7E" w:rsidRPr="00A47AFB">
        <w:rPr>
          <w:lang w:val="en-GB"/>
        </w:rPr>
        <w:t xml:space="preserve"> and requires the Union to accede to the ECHR, pursuant to </w:t>
      </w:r>
      <w:r w:rsidRPr="00A47AFB">
        <w:rPr>
          <w:lang w:val="en-GB"/>
        </w:rPr>
        <w:t>Art.6 Treaty of the European Union(TEU)</w:t>
      </w:r>
      <w:r w:rsidR="00952E20" w:rsidRPr="00A47AFB">
        <w:rPr>
          <w:rStyle w:val="FootnoteReference"/>
          <w:lang w:val="en-GB"/>
        </w:rPr>
        <w:footnoteReference w:id="39"/>
      </w:r>
      <w:r w:rsidRPr="00A47AFB">
        <w:rPr>
          <w:lang w:val="en-GB"/>
        </w:rPr>
        <w:t>.</w:t>
      </w:r>
    </w:p>
    <w:p w14:paraId="385542AC" w14:textId="20EAD84E" w:rsidR="00920E82" w:rsidRPr="00A47AFB" w:rsidRDefault="00A47AFB" w:rsidP="00920E82">
      <w:pPr>
        <w:spacing w:line="360" w:lineRule="auto"/>
        <w:ind w:firstLine="360"/>
        <w:jc w:val="both"/>
        <w:rPr>
          <w:b/>
          <w:u w:val="single"/>
          <w:lang w:val="en-GB"/>
        </w:rPr>
      </w:pPr>
      <w:r w:rsidRPr="00A47AFB">
        <w:rPr>
          <w:b/>
          <w:u w:val="single"/>
          <w:lang w:val="en-GB"/>
        </w:rPr>
        <w:t xml:space="preserve">European Framework: </w:t>
      </w:r>
      <w:r w:rsidR="00920E82" w:rsidRPr="00A47AFB">
        <w:rPr>
          <w:b/>
          <w:u w:val="single"/>
          <w:lang w:val="en-GB"/>
        </w:rPr>
        <w:t>EU Secondary Legislation</w:t>
      </w:r>
      <w:r w:rsidR="00F87BA1" w:rsidRPr="00A47AFB">
        <w:rPr>
          <w:b/>
          <w:u w:val="single"/>
          <w:lang w:val="en-GB"/>
        </w:rPr>
        <w:t>s</w:t>
      </w:r>
    </w:p>
    <w:p w14:paraId="5A794C1B" w14:textId="4DFD3A15" w:rsidR="00237749" w:rsidRPr="00A47AFB" w:rsidRDefault="00920E82" w:rsidP="008565C9">
      <w:pPr>
        <w:spacing w:line="360" w:lineRule="auto"/>
        <w:ind w:firstLine="360"/>
        <w:jc w:val="both"/>
        <w:rPr>
          <w:lang w:val="en-GB"/>
        </w:rPr>
      </w:pPr>
      <w:r w:rsidRPr="00A47AFB">
        <w:rPr>
          <w:lang w:val="en-GB"/>
        </w:rPr>
        <w:t>Non-</w:t>
      </w:r>
      <w:proofErr w:type="spellStart"/>
      <w:r w:rsidRPr="00A47AFB">
        <w:rPr>
          <w:lang w:val="en-GB"/>
        </w:rPr>
        <w:t>refoulement</w:t>
      </w:r>
      <w:proofErr w:type="spellEnd"/>
      <w:r w:rsidRPr="00A47AFB">
        <w:rPr>
          <w:lang w:val="en-GB"/>
        </w:rPr>
        <w:t xml:space="preserve"> is also included in EU secondary legislations – the Qualification Directive (QD) (Art.2(</w:t>
      </w:r>
      <w:r w:rsidR="00177EE1" w:rsidRPr="00A47AFB">
        <w:rPr>
          <w:lang w:val="en-GB"/>
        </w:rPr>
        <w:t>a))</w:t>
      </w:r>
      <w:r w:rsidR="00655448" w:rsidRPr="00A47AFB">
        <w:rPr>
          <w:rStyle w:val="FootnoteReference"/>
          <w:lang w:val="en-GB"/>
        </w:rPr>
        <w:footnoteReference w:id="40"/>
      </w:r>
      <w:r w:rsidR="00177EE1" w:rsidRPr="00A47AFB">
        <w:rPr>
          <w:lang w:val="en-GB"/>
        </w:rPr>
        <w:t>, the APD (Art.</w:t>
      </w:r>
      <w:r w:rsidRPr="00A47AFB">
        <w:rPr>
          <w:lang w:val="en-GB"/>
        </w:rPr>
        <w:t>3)</w:t>
      </w:r>
      <w:bookmarkStart w:id="16" w:name="_Ref479448410"/>
      <w:r w:rsidR="00655448" w:rsidRPr="00A47AFB">
        <w:rPr>
          <w:rStyle w:val="FootnoteReference"/>
          <w:lang w:val="en-GB"/>
        </w:rPr>
        <w:footnoteReference w:id="41"/>
      </w:r>
      <w:bookmarkEnd w:id="16"/>
      <w:r w:rsidRPr="00A47AFB">
        <w:rPr>
          <w:lang w:val="en-GB"/>
        </w:rPr>
        <w:t xml:space="preserve"> and the RD</w:t>
      </w:r>
      <w:bookmarkStart w:id="17" w:name="_Ref479451947"/>
      <w:r w:rsidR="00655448" w:rsidRPr="00A47AFB">
        <w:rPr>
          <w:rStyle w:val="FootnoteReference"/>
          <w:lang w:val="en-GB"/>
        </w:rPr>
        <w:footnoteReference w:id="42"/>
      </w:r>
      <w:bookmarkEnd w:id="17"/>
      <w:r w:rsidRPr="00A47AFB">
        <w:rPr>
          <w:lang w:val="en-GB"/>
        </w:rPr>
        <w:t xml:space="preserve">. The APD and RD are the most pertinent instruments in regulating the transfer of </w:t>
      </w:r>
      <w:r w:rsidR="00A52790">
        <w:rPr>
          <w:lang w:val="en-GB"/>
        </w:rPr>
        <w:t xml:space="preserve">irregular </w:t>
      </w:r>
      <w:r w:rsidR="00177EE1" w:rsidRPr="00A47AFB">
        <w:rPr>
          <w:lang w:val="en-GB"/>
        </w:rPr>
        <w:t>migrants and</w:t>
      </w:r>
      <w:r w:rsidR="00A52790">
        <w:rPr>
          <w:lang w:val="en-GB"/>
        </w:rPr>
        <w:t xml:space="preserve"> rejected</w:t>
      </w:r>
      <w:r w:rsidR="00177EE1" w:rsidRPr="00A47AFB">
        <w:rPr>
          <w:lang w:val="en-GB"/>
        </w:rPr>
        <w:t xml:space="preserve"> asylum </w:t>
      </w:r>
      <w:r w:rsidRPr="00A47AFB">
        <w:rPr>
          <w:lang w:val="en-GB"/>
        </w:rPr>
        <w:t>seekers. APD ascertains whether protection seekers can be returned to</w:t>
      </w:r>
      <w:r w:rsidR="00177EE1" w:rsidRPr="00A47AFB">
        <w:rPr>
          <w:lang w:val="en-GB"/>
        </w:rPr>
        <w:t xml:space="preserve"> a STC for status determination, </w:t>
      </w:r>
      <w:r w:rsidRPr="00A47AFB">
        <w:rPr>
          <w:lang w:val="en-GB"/>
        </w:rPr>
        <w:t>while t</w:t>
      </w:r>
      <w:r w:rsidR="00CC7261" w:rsidRPr="00A47AFB">
        <w:rPr>
          <w:lang w:val="en-GB"/>
        </w:rPr>
        <w:t>he Return Directive sets out</w:t>
      </w:r>
      <w:r w:rsidRPr="00A47AFB">
        <w:rPr>
          <w:lang w:val="en-GB"/>
        </w:rPr>
        <w:t xml:space="preserve"> common rules concerning removal, return, detention standards, and safeguards for irregular migrants</w:t>
      </w:r>
      <w:r w:rsidRPr="00A47AFB">
        <w:rPr>
          <w:rStyle w:val="FootnoteReference"/>
          <w:lang w:val="en-GB"/>
        </w:rPr>
        <w:footnoteReference w:id="43"/>
      </w:r>
      <w:r w:rsidRPr="00A47AFB">
        <w:rPr>
          <w:lang w:val="en-GB"/>
        </w:rPr>
        <w:t xml:space="preserve">. </w:t>
      </w:r>
    </w:p>
    <w:p w14:paraId="1DF6BA8D" w14:textId="285BBBE1" w:rsidR="00920E82" w:rsidRPr="00A47AFB" w:rsidRDefault="00920E82" w:rsidP="00920E82">
      <w:pPr>
        <w:spacing w:before="240" w:line="360" w:lineRule="auto"/>
        <w:jc w:val="both"/>
        <w:rPr>
          <w:b/>
          <w:u w:val="single"/>
          <w:lang w:val="en-GB"/>
        </w:rPr>
      </w:pPr>
      <w:r w:rsidRPr="00A47AFB">
        <w:rPr>
          <w:b/>
          <w:u w:val="single"/>
          <w:lang w:val="en-GB"/>
        </w:rPr>
        <w:t>EU Readmission practices and Non-</w:t>
      </w:r>
      <w:proofErr w:type="spellStart"/>
      <w:r w:rsidRPr="00A47AFB">
        <w:rPr>
          <w:b/>
          <w:u w:val="single"/>
          <w:lang w:val="en-GB"/>
        </w:rPr>
        <w:t>Refoulement</w:t>
      </w:r>
      <w:proofErr w:type="spellEnd"/>
      <w:r w:rsidRPr="00A47AFB">
        <w:rPr>
          <w:b/>
          <w:u w:val="single"/>
          <w:lang w:val="en-GB"/>
        </w:rPr>
        <w:t>: Readmission Agreements</w:t>
      </w:r>
    </w:p>
    <w:p w14:paraId="1D5F7CBB" w14:textId="0277238E" w:rsidR="00920E82" w:rsidRPr="00A47AFB" w:rsidRDefault="00920E82" w:rsidP="00CC7261">
      <w:pPr>
        <w:spacing w:after="240" w:line="360" w:lineRule="auto"/>
        <w:ind w:firstLine="720"/>
        <w:jc w:val="both"/>
        <w:rPr>
          <w:lang w:val="en-GB"/>
        </w:rPr>
      </w:pPr>
      <w:r w:rsidRPr="00A47AFB">
        <w:rPr>
          <w:lang w:val="en-GB"/>
        </w:rPr>
        <w:t xml:space="preserve">The EU readmission practices comprise of different institutional instruments, ranging from development aid, visa facilitation, technical cooperation for the externalisation of migration control to labour exchanges. However, this paper focuses on readmission agreements and STC procedures, given its fundamental role in granting legal effect to various expulsion, removal and repatriation policies of illegal aliens to either their </w:t>
      </w:r>
      <w:r w:rsidR="00AC7B70" w:rsidRPr="00A47AFB">
        <w:rPr>
          <w:lang w:val="en-GB"/>
        </w:rPr>
        <w:t>CO</w:t>
      </w:r>
      <w:r w:rsidRPr="00A47AFB">
        <w:rPr>
          <w:lang w:val="en-GB"/>
        </w:rPr>
        <w:t xml:space="preserve"> or an STC. </w:t>
      </w:r>
    </w:p>
    <w:p w14:paraId="7340CCAD" w14:textId="535E313E" w:rsidR="00920E82" w:rsidRPr="00A47AFB" w:rsidRDefault="00177EE1" w:rsidP="00237749">
      <w:pPr>
        <w:spacing w:after="240" w:line="360" w:lineRule="auto"/>
        <w:jc w:val="both"/>
        <w:rPr>
          <w:lang w:val="en-GB"/>
        </w:rPr>
      </w:pPr>
      <w:r w:rsidRPr="00A47AFB">
        <w:rPr>
          <w:lang w:val="en-GB"/>
        </w:rPr>
        <w:tab/>
        <w:t>The European Commission</w:t>
      </w:r>
      <w:r w:rsidR="00920E82" w:rsidRPr="00A47AFB">
        <w:rPr>
          <w:lang w:val="en-GB"/>
        </w:rPr>
        <w:t>(EC) has held that the EU’s readmission agreements are compatible with the International and European framework on non-</w:t>
      </w:r>
      <w:proofErr w:type="spellStart"/>
      <w:r w:rsidR="00920E82" w:rsidRPr="00A47AFB">
        <w:rPr>
          <w:lang w:val="en-GB"/>
        </w:rPr>
        <w:t>refoulement</w:t>
      </w:r>
      <w:proofErr w:type="spellEnd"/>
      <w:r w:rsidR="00920E82" w:rsidRPr="00A47AFB">
        <w:rPr>
          <w:rStyle w:val="FootnoteReference"/>
          <w:lang w:val="en-GB"/>
        </w:rPr>
        <w:footnoteReference w:id="44"/>
      </w:r>
      <w:r w:rsidR="00226CC6" w:rsidRPr="00A47AFB">
        <w:rPr>
          <w:lang w:val="en-GB"/>
        </w:rPr>
        <w:t xml:space="preserve">. </w:t>
      </w:r>
      <w:r w:rsidR="00EC2DBE" w:rsidRPr="00A47AFB">
        <w:rPr>
          <w:lang w:val="en-GB"/>
        </w:rPr>
        <w:t>R</w:t>
      </w:r>
      <w:r w:rsidR="00920E82" w:rsidRPr="00A47AFB">
        <w:rPr>
          <w:lang w:val="en-GB"/>
        </w:rPr>
        <w:t>eadmissions exclusively tar</w:t>
      </w:r>
      <w:r w:rsidR="00EC2DBE" w:rsidRPr="00A47AFB">
        <w:rPr>
          <w:lang w:val="en-GB"/>
        </w:rPr>
        <w:t>get “illegal” immigrants, i.e.</w:t>
      </w:r>
      <w:r w:rsidR="00920E82" w:rsidRPr="00A47AFB">
        <w:rPr>
          <w:lang w:val="en-GB"/>
        </w:rPr>
        <w:t xml:space="preserve"> a person who “does not, or no longer, fulfil the conditions for entry to, presence in, or residence on the territories of the [EU member-</w:t>
      </w:r>
      <w:r w:rsidR="00920E82" w:rsidRPr="00A47AFB">
        <w:rPr>
          <w:lang w:val="en-GB"/>
        </w:rPr>
        <w:lastRenderedPageBreak/>
        <w:t>states]”</w:t>
      </w:r>
      <w:r w:rsidR="00920E82" w:rsidRPr="00A47AFB">
        <w:rPr>
          <w:rStyle w:val="FootnoteReference"/>
          <w:lang w:val="en-GB"/>
        </w:rPr>
        <w:footnoteReference w:id="45"/>
      </w:r>
      <w:r w:rsidR="00920E82" w:rsidRPr="00A47AFB">
        <w:rPr>
          <w:lang w:val="en-GB"/>
        </w:rPr>
        <w:t>. These include failed protection seekers and irregular migrants, who both fall outside the ambit of non-</w:t>
      </w:r>
      <w:proofErr w:type="spellStart"/>
      <w:r w:rsidR="00920E82" w:rsidRPr="00A47AFB">
        <w:rPr>
          <w:lang w:val="en-GB"/>
        </w:rPr>
        <w:t>refoulement</w:t>
      </w:r>
      <w:bookmarkStart w:id="18" w:name="_Ref479451617"/>
      <w:proofErr w:type="spellEnd"/>
      <w:r w:rsidR="00920E82" w:rsidRPr="00A47AFB">
        <w:rPr>
          <w:rStyle w:val="FootnoteReference"/>
          <w:lang w:val="en-GB"/>
        </w:rPr>
        <w:footnoteReference w:id="46"/>
      </w:r>
      <w:bookmarkEnd w:id="18"/>
      <w:r w:rsidR="00920E82" w:rsidRPr="00A47AFB">
        <w:rPr>
          <w:lang w:val="en-GB"/>
        </w:rPr>
        <w:t xml:space="preserve">. Decisions on protection claims and, sequentially, expulsion order, fall under domestic law, </w:t>
      </w:r>
      <w:r w:rsidRPr="00A47AFB">
        <w:rPr>
          <w:lang w:val="en-GB"/>
        </w:rPr>
        <w:t>and so</w:t>
      </w:r>
      <w:r w:rsidR="00920E82" w:rsidRPr="00A47AFB">
        <w:rPr>
          <w:lang w:val="en-GB"/>
        </w:rPr>
        <w:t xml:space="preserve"> violation</w:t>
      </w:r>
      <w:r w:rsidRPr="00A47AFB">
        <w:rPr>
          <w:lang w:val="en-GB"/>
        </w:rPr>
        <w:t>s</w:t>
      </w:r>
      <w:r w:rsidR="00920E82" w:rsidRPr="00A47AFB">
        <w:rPr>
          <w:lang w:val="en-GB"/>
        </w:rPr>
        <w:t xml:space="preserve"> of non-</w:t>
      </w:r>
      <w:proofErr w:type="spellStart"/>
      <w:r w:rsidR="00920E82" w:rsidRPr="00A47AFB">
        <w:rPr>
          <w:lang w:val="en-GB"/>
        </w:rPr>
        <w:t>refoulement</w:t>
      </w:r>
      <w:proofErr w:type="spellEnd"/>
      <w:r w:rsidR="00920E82" w:rsidRPr="00A47AFB">
        <w:rPr>
          <w:lang w:val="en-GB"/>
        </w:rPr>
        <w:t xml:space="preserve"> cannot be attributed to the EU readmission agreements</w:t>
      </w:r>
      <w:r w:rsidR="00344903" w:rsidRPr="00A47AFB">
        <w:rPr>
          <w:rStyle w:val="FootnoteReference"/>
          <w:lang w:val="en-GB"/>
        </w:rPr>
        <w:footnoteReference w:id="47"/>
      </w:r>
      <w:r w:rsidR="00CC7261" w:rsidRPr="00A47AFB">
        <w:rPr>
          <w:lang w:val="en-GB"/>
        </w:rPr>
        <w:t xml:space="preserve">. </w:t>
      </w:r>
      <w:r w:rsidR="00EC2DBE" w:rsidRPr="00A47AFB">
        <w:rPr>
          <w:lang w:val="en-GB"/>
        </w:rPr>
        <w:t>Moreover</w:t>
      </w:r>
      <w:r w:rsidR="00920E82" w:rsidRPr="00A47AFB">
        <w:rPr>
          <w:lang w:val="en-GB"/>
        </w:rPr>
        <w:t xml:space="preserve">, each readmission agreement </w:t>
      </w:r>
      <w:r w:rsidRPr="00A47AFB">
        <w:rPr>
          <w:lang w:val="en-GB"/>
        </w:rPr>
        <w:t xml:space="preserve">contains a non-affection </w:t>
      </w:r>
      <w:proofErr w:type="gramStart"/>
      <w:r w:rsidRPr="00A47AFB">
        <w:rPr>
          <w:lang w:val="en-GB"/>
        </w:rPr>
        <w:t>clause</w:t>
      </w:r>
      <w:r w:rsidR="00A52790">
        <w:rPr>
          <w:lang w:val="en-GB"/>
        </w:rPr>
        <w:t>(</w:t>
      </w:r>
      <w:proofErr w:type="gramEnd"/>
      <w:r w:rsidR="00A52790">
        <w:rPr>
          <w:lang w:val="en-GB"/>
        </w:rPr>
        <w:t>Art.18EU-Turkey Readmission Agreement</w:t>
      </w:r>
      <w:r w:rsidR="00920E82" w:rsidRPr="00A47AFB">
        <w:rPr>
          <w:lang w:val="en-GB"/>
        </w:rPr>
        <w:t>)</w:t>
      </w:r>
      <w:bookmarkStart w:id="19" w:name="_Ref479513826"/>
      <w:r w:rsidR="00A52790">
        <w:rPr>
          <w:rStyle w:val="FootnoteReference"/>
          <w:lang w:val="en-GB"/>
        </w:rPr>
        <w:footnoteReference w:id="48"/>
      </w:r>
      <w:bookmarkEnd w:id="19"/>
      <w:r w:rsidR="00920E82" w:rsidRPr="00A47AFB">
        <w:rPr>
          <w:lang w:val="en-GB"/>
        </w:rPr>
        <w:t>, providing that readmissions shall be subject to the non-</w:t>
      </w:r>
      <w:proofErr w:type="spellStart"/>
      <w:r w:rsidR="00920E82" w:rsidRPr="00A47AFB">
        <w:rPr>
          <w:lang w:val="en-GB"/>
        </w:rPr>
        <w:t>refoul</w:t>
      </w:r>
      <w:r w:rsidR="007F3ADE" w:rsidRPr="00A47AFB">
        <w:rPr>
          <w:lang w:val="en-GB"/>
        </w:rPr>
        <w:t>ement</w:t>
      </w:r>
      <w:proofErr w:type="spellEnd"/>
      <w:r w:rsidR="007F3ADE" w:rsidRPr="00A47AFB">
        <w:rPr>
          <w:lang w:val="en-GB"/>
        </w:rPr>
        <w:t xml:space="preserve"> obligations as stipulated</w:t>
      </w:r>
      <w:r w:rsidR="00A52790">
        <w:rPr>
          <w:lang w:val="en-GB"/>
        </w:rPr>
        <w:t xml:space="preserve"> in other treaties</w:t>
      </w:r>
      <w:r w:rsidR="00920E82" w:rsidRPr="00A47AFB">
        <w:rPr>
          <w:rStyle w:val="FootnoteReference"/>
          <w:lang w:val="en-GB"/>
        </w:rPr>
        <w:footnoteReference w:id="49"/>
      </w:r>
      <w:r w:rsidR="00920E82" w:rsidRPr="00A47AFB">
        <w:rPr>
          <w:lang w:val="en-GB"/>
        </w:rPr>
        <w:t xml:space="preserve">. </w:t>
      </w:r>
      <w:r w:rsidR="007F3ADE" w:rsidRPr="00A47AFB">
        <w:rPr>
          <w:lang w:val="en-GB"/>
        </w:rPr>
        <w:t>Arguably, readmission</w:t>
      </w:r>
      <w:r w:rsidR="00DD06FD">
        <w:rPr>
          <w:lang w:val="en-GB"/>
        </w:rPr>
        <w:t xml:space="preserve"> agreements do</w:t>
      </w:r>
      <w:r w:rsidR="007F3ADE" w:rsidRPr="00A47AFB">
        <w:rPr>
          <w:lang w:val="en-GB"/>
        </w:rPr>
        <w:t xml:space="preserve"> not </w:t>
      </w:r>
      <w:r w:rsidR="009F6D77">
        <w:rPr>
          <w:lang w:val="en-GB"/>
        </w:rPr>
        <w:t xml:space="preserve">create </w:t>
      </w:r>
      <w:r w:rsidR="00920E82" w:rsidRPr="00A47AFB">
        <w:rPr>
          <w:lang w:val="en-GB"/>
        </w:rPr>
        <w:t>a legal bas</w:t>
      </w:r>
      <w:r w:rsidR="00FB3CAB">
        <w:rPr>
          <w:lang w:val="en-GB"/>
        </w:rPr>
        <w:t xml:space="preserve">is for expulsion </w:t>
      </w:r>
      <w:r w:rsidR="00FB3CAB" w:rsidRPr="00FB3CAB">
        <w:rPr>
          <w:i/>
          <w:lang w:val="en-GB"/>
        </w:rPr>
        <w:t>per se</w:t>
      </w:r>
      <w:r w:rsidR="00FB3CAB">
        <w:rPr>
          <w:lang w:val="en-GB"/>
        </w:rPr>
        <w:t xml:space="preserve">, but only </w:t>
      </w:r>
      <w:r w:rsidR="00C70931">
        <w:rPr>
          <w:lang w:val="en-GB"/>
        </w:rPr>
        <w:t>facilitate the member-states’</w:t>
      </w:r>
      <w:r w:rsidR="00920E82" w:rsidRPr="00A47AFB">
        <w:rPr>
          <w:lang w:val="en-GB"/>
        </w:rPr>
        <w:t xml:space="preserve"> expulsion order</w:t>
      </w:r>
      <w:r w:rsidR="00C70931">
        <w:rPr>
          <w:lang w:val="en-GB"/>
        </w:rPr>
        <w:t>s</w:t>
      </w:r>
      <w:r w:rsidR="00920E82" w:rsidRPr="00A47AFB">
        <w:rPr>
          <w:rStyle w:val="FootnoteReference"/>
          <w:lang w:val="en-GB"/>
        </w:rPr>
        <w:footnoteReference w:id="50"/>
      </w:r>
      <w:r w:rsidR="00920E82" w:rsidRPr="00A47AFB">
        <w:rPr>
          <w:lang w:val="en-GB"/>
        </w:rPr>
        <w:t>.</w:t>
      </w:r>
    </w:p>
    <w:p w14:paraId="173F4883" w14:textId="789E5BFD" w:rsidR="00237749" w:rsidRPr="00A47AFB" w:rsidRDefault="00237749" w:rsidP="00237749">
      <w:pPr>
        <w:spacing w:line="360" w:lineRule="auto"/>
        <w:jc w:val="both"/>
        <w:rPr>
          <w:b/>
          <w:u w:val="single"/>
          <w:lang w:val="en-GB"/>
        </w:rPr>
      </w:pPr>
      <w:r w:rsidRPr="00A47AFB">
        <w:rPr>
          <w:b/>
          <w:u w:val="single"/>
          <w:lang w:val="en-GB"/>
        </w:rPr>
        <w:t>EU Readmission practices and Non-</w:t>
      </w:r>
      <w:proofErr w:type="spellStart"/>
      <w:r w:rsidRPr="00A47AFB">
        <w:rPr>
          <w:b/>
          <w:u w:val="single"/>
          <w:lang w:val="en-GB"/>
        </w:rPr>
        <w:t>Refoulement</w:t>
      </w:r>
      <w:proofErr w:type="spellEnd"/>
      <w:r w:rsidR="008565C9" w:rsidRPr="00A47AFB">
        <w:rPr>
          <w:b/>
          <w:u w:val="single"/>
          <w:lang w:val="en-GB"/>
        </w:rPr>
        <w:t>: Safe Third Country Practices</w:t>
      </w:r>
    </w:p>
    <w:p w14:paraId="71CD9125" w14:textId="43C81AF9" w:rsidR="00237749" w:rsidRPr="00A47AFB" w:rsidRDefault="00237749" w:rsidP="00990FF7">
      <w:pPr>
        <w:spacing w:after="240" w:line="360" w:lineRule="auto"/>
        <w:ind w:firstLine="720"/>
        <w:jc w:val="both"/>
        <w:rPr>
          <w:lang w:val="en-GB"/>
        </w:rPr>
      </w:pPr>
      <w:r w:rsidRPr="00A47AFB">
        <w:rPr>
          <w:lang w:val="en-GB"/>
        </w:rPr>
        <w:t xml:space="preserve">The </w:t>
      </w:r>
      <w:r w:rsidR="00127B75" w:rsidRPr="00A47AFB">
        <w:rPr>
          <w:lang w:val="en-GB"/>
        </w:rPr>
        <w:t>EU-STC</w:t>
      </w:r>
      <w:r w:rsidRPr="00A47AFB">
        <w:rPr>
          <w:lang w:val="en-GB"/>
        </w:rPr>
        <w:t xml:space="preserve"> practice is premised on finding a state that can be deemed responsible for status determination of protection seeker. The UNHCR does not oppose STC practices</w:t>
      </w:r>
      <w:r w:rsidRPr="00A47AFB">
        <w:rPr>
          <w:b/>
          <w:lang w:val="en-GB"/>
        </w:rPr>
        <w:t xml:space="preserve"> </w:t>
      </w:r>
      <w:r w:rsidRPr="00A47AFB">
        <w:rPr>
          <w:lang w:val="en-GB"/>
        </w:rPr>
        <w:t xml:space="preserve">as </w:t>
      </w:r>
      <w:r w:rsidRPr="00990FF7">
        <w:rPr>
          <w:i/>
          <w:lang w:val="en-GB"/>
        </w:rPr>
        <w:t xml:space="preserve">“a procedural tool to channel certain applications into accelerated procedures, or where its </w:t>
      </w:r>
      <w:r w:rsidR="00990FF7" w:rsidRPr="00990FF7">
        <w:rPr>
          <w:i/>
          <w:lang w:val="en-GB"/>
        </w:rPr>
        <w:t>use has an evidentiary function</w:t>
      </w:r>
      <w:r w:rsidR="00990FF7">
        <w:rPr>
          <w:lang w:val="en-GB"/>
        </w:rPr>
        <w:t>”</w:t>
      </w:r>
      <w:r w:rsidRPr="00A47AFB">
        <w:rPr>
          <w:lang w:val="en-GB"/>
        </w:rPr>
        <w:t>, provided that the</w:t>
      </w:r>
      <w:r w:rsidR="009F6D77">
        <w:rPr>
          <w:lang w:val="en-GB"/>
        </w:rPr>
        <w:t xml:space="preserve"> </w:t>
      </w:r>
      <w:r w:rsidR="007F26F2">
        <w:rPr>
          <w:lang w:val="en-GB"/>
        </w:rPr>
        <w:t xml:space="preserve">protection </w:t>
      </w:r>
      <w:r w:rsidR="001E376C">
        <w:rPr>
          <w:lang w:val="en-GB"/>
        </w:rPr>
        <w:t>seeker can challenge</w:t>
      </w:r>
      <w:r w:rsidR="009F6D77">
        <w:rPr>
          <w:lang w:val="en-GB"/>
        </w:rPr>
        <w:t xml:space="preserve"> the </w:t>
      </w:r>
      <w:r w:rsidR="00990FF7">
        <w:rPr>
          <w:lang w:val="en-GB"/>
        </w:rPr>
        <w:t>“</w:t>
      </w:r>
      <w:r w:rsidR="009F6D77" w:rsidRPr="00990FF7">
        <w:rPr>
          <w:i/>
          <w:lang w:val="en-GB"/>
        </w:rPr>
        <w:t>underlying presumption</w:t>
      </w:r>
      <w:r w:rsidR="007F26F2" w:rsidRPr="00990FF7">
        <w:rPr>
          <w:i/>
          <w:lang w:val="en-GB"/>
        </w:rPr>
        <w:t xml:space="preserve"> of safety</w:t>
      </w:r>
      <w:bookmarkStart w:id="20" w:name="_Ref479026516"/>
      <w:r w:rsidR="007F26F2">
        <w:rPr>
          <w:lang w:val="en-GB"/>
        </w:rPr>
        <w:t xml:space="preserve"> </w:t>
      </w:r>
      <w:r w:rsidR="007F26F2" w:rsidRPr="00990FF7">
        <w:rPr>
          <w:i/>
          <w:lang w:val="en-GB"/>
        </w:rPr>
        <w:t>in a fair procedure</w:t>
      </w:r>
      <w:r w:rsidR="00990FF7">
        <w:rPr>
          <w:lang w:val="en-GB"/>
        </w:rPr>
        <w:t>”</w:t>
      </w:r>
      <w:r w:rsidR="00D253B6" w:rsidRPr="00A47AFB">
        <w:rPr>
          <w:rStyle w:val="FootnoteReference"/>
          <w:lang w:val="en-GB"/>
        </w:rPr>
        <w:footnoteReference w:id="51"/>
      </w:r>
      <w:bookmarkEnd w:id="20"/>
      <w:r w:rsidRPr="00A47AFB">
        <w:rPr>
          <w:b/>
          <w:lang w:val="en-GB"/>
        </w:rPr>
        <w:t>.</w:t>
      </w:r>
      <w:r w:rsidRPr="00A47AFB">
        <w:rPr>
          <w:lang w:val="en-GB"/>
        </w:rPr>
        <w:t xml:space="preserve"> However, it notes that protection claims cannot be rejected solely because asylum could </w:t>
      </w:r>
      <w:r w:rsidR="00177EE1" w:rsidRPr="00A47AFB">
        <w:rPr>
          <w:lang w:val="en-GB"/>
        </w:rPr>
        <w:t>be undertaken</w:t>
      </w:r>
      <w:r w:rsidR="008A7993" w:rsidRPr="00A47AFB">
        <w:rPr>
          <w:lang w:val="en-GB"/>
        </w:rPr>
        <w:t xml:space="preserve"> </w:t>
      </w:r>
      <w:r w:rsidRPr="00A47AFB">
        <w:rPr>
          <w:lang w:val="en-GB"/>
        </w:rPr>
        <w:t>elsewhere</w:t>
      </w:r>
      <w:r w:rsidR="00344903" w:rsidRPr="00A47AFB">
        <w:rPr>
          <w:rStyle w:val="FootnoteReference"/>
          <w:lang w:val="en-GB"/>
        </w:rPr>
        <w:footnoteReference w:id="52"/>
      </w:r>
      <w:r w:rsidRPr="00A47AFB">
        <w:rPr>
          <w:lang w:val="en-GB"/>
        </w:rPr>
        <w:t>. The UNHCR also stated that STC could only assume responsibility over the protection seeker</w:t>
      </w:r>
      <w:r w:rsidR="00990FF7">
        <w:rPr>
          <w:lang w:val="en-GB"/>
        </w:rPr>
        <w:t xml:space="preserve"> if a link or connection can be deduced </w:t>
      </w:r>
      <w:r w:rsidRPr="00A47AFB">
        <w:rPr>
          <w:lang w:val="en-GB"/>
        </w:rPr>
        <w:t>between the a</w:t>
      </w:r>
      <w:r w:rsidR="00990FF7">
        <w:rPr>
          <w:lang w:val="en-GB"/>
        </w:rPr>
        <w:t>pplicant and the state that ‘appears fair and reasonable’</w:t>
      </w:r>
      <w:r w:rsidRPr="00A47AFB">
        <w:rPr>
          <w:rStyle w:val="FootnoteReference"/>
          <w:lang w:val="en-GB"/>
        </w:rPr>
        <w:footnoteReference w:id="53"/>
      </w:r>
      <w:r w:rsidRPr="00A47AFB">
        <w:rPr>
          <w:lang w:val="en-GB"/>
        </w:rPr>
        <w:t>.</w:t>
      </w:r>
    </w:p>
    <w:p w14:paraId="54513F6A" w14:textId="74194711" w:rsidR="00DA6816" w:rsidRPr="00A47AFB" w:rsidRDefault="005A11BD" w:rsidP="00EE5F33">
      <w:pPr>
        <w:spacing w:after="240" w:line="360" w:lineRule="auto"/>
        <w:jc w:val="both"/>
        <w:rPr>
          <w:lang w:val="en-GB"/>
        </w:rPr>
      </w:pPr>
      <w:r w:rsidRPr="00A47AFB">
        <w:rPr>
          <w:lang w:val="en-GB"/>
        </w:rPr>
        <w:tab/>
      </w:r>
      <w:r w:rsidR="00EC2DBE" w:rsidRPr="00A47AFB">
        <w:rPr>
          <w:lang w:val="en-GB"/>
        </w:rPr>
        <w:t>The categoris</w:t>
      </w:r>
      <w:r w:rsidRPr="00A47AFB">
        <w:rPr>
          <w:lang w:val="en-GB"/>
        </w:rPr>
        <w:t>ation</w:t>
      </w:r>
      <w:r w:rsidR="00EC2DBE" w:rsidRPr="00A47AFB">
        <w:rPr>
          <w:lang w:val="en-GB"/>
        </w:rPr>
        <w:t>s</w:t>
      </w:r>
      <w:r w:rsidR="00177EE1" w:rsidRPr="00A47AFB">
        <w:rPr>
          <w:lang w:val="en-GB"/>
        </w:rPr>
        <w:t xml:space="preserve"> of STCs are also</w:t>
      </w:r>
      <w:r w:rsidRPr="00A47AFB">
        <w:rPr>
          <w:lang w:val="en-GB"/>
        </w:rPr>
        <w:t xml:space="preserve"> </w:t>
      </w:r>
      <w:r w:rsidR="007F3ADE" w:rsidRPr="00A47AFB">
        <w:rPr>
          <w:lang w:val="en-GB"/>
        </w:rPr>
        <w:t>decided by</w:t>
      </w:r>
      <w:r w:rsidR="00D5136F" w:rsidRPr="00A47AFB">
        <w:rPr>
          <w:lang w:val="en-GB"/>
        </w:rPr>
        <w:t xml:space="preserve"> EU-</w:t>
      </w:r>
      <w:r w:rsidRPr="00A47AFB">
        <w:rPr>
          <w:lang w:val="en-GB"/>
        </w:rPr>
        <w:t>member-states, and thus its incompatibility could not be attributed to the EU readmission pract</w:t>
      </w:r>
      <w:r w:rsidR="00177EE1" w:rsidRPr="00A47AFB">
        <w:rPr>
          <w:lang w:val="en-GB"/>
        </w:rPr>
        <w:t xml:space="preserve">ices. The APD merely </w:t>
      </w:r>
      <w:r w:rsidR="00177EE1" w:rsidRPr="00A47AFB">
        <w:rPr>
          <w:lang w:val="en-GB"/>
        </w:rPr>
        <w:lastRenderedPageBreak/>
        <w:t>establishes</w:t>
      </w:r>
      <w:r w:rsidRPr="00A47AFB">
        <w:rPr>
          <w:lang w:val="en-GB"/>
        </w:rPr>
        <w:t xml:space="preserve"> minimum standards of safety – listed in Art.38(</w:t>
      </w:r>
      <w:proofErr w:type="gramStart"/>
      <w:r w:rsidRPr="00A47AFB">
        <w:rPr>
          <w:lang w:val="en-GB"/>
        </w:rPr>
        <w:t>1)APD</w:t>
      </w:r>
      <w:proofErr w:type="gramEnd"/>
      <w:r w:rsidRPr="00A47AFB">
        <w:rPr>
          <w:lang w:val="en-GB"/>
        </w:rPr>
        <w:t xml:space="preserve"> - which emulate </w:t>
      </w:r>
      <w:r w:rsidR="00DA6816" w:rsidRPr="00A47AFB">
        <w:rPr>
          <w:lang w:val="en-GB"/>
        </w:rPr>
        <w:t>those in</w:t>
      </w:r>
      <w:r w:rsidR="007F3ADE" w:rsidRPr="00A47AFB">
        <w:rPr>
          <w:lang w:val="en-GB"/>
        </w:rPr>
        <w:t xml:space="preserve"> Art.33</w:t>
      </w:r>
      <w:r w:rsidR="001E6151" w:rsidRPr="00A47AFB">
        <w:rPr>
          <w:lang w:val="en-GB"/>
        </w:rPr>
        <w:t xml:space="preserve">RC </w:t>
      </w:r>
      <w:r w:rsidR="007F3ADE" w:rsidRPr="00A47AFB">
        <w:rPr>
          <w:lang w:val="en-GB"/>
        </w:rPr>
        <w:t>and Art.3</w:t>
      </w:r>
      <w:r w:rsidR="00DA6816" w:rsidRPr="00A47AFB">
        <w:rPr>
          <w:lang w:val="en-GB"/>
        </w:rPr>
        <w:t>ECHR</w:t>
      </w:r>
      <w:r w:rsidR="00344903" w:rsidRPr="00A47AFB">
        <w:rPr>
          <w:rStyle w:val="FootnoteReference"/>
          <w:lang w:val="en-GB"/>
        </w:rPr>
        <w:footnoteReference w:id="54"/>
      </w:r>
      <w:r w:rsidRPr="00A47AFB">
        <w:rPr>
          <w:lang w:val="en-GB"/>
        </w:rPr>
        <w:t xml:space="preserve">. </w:t>
      </w:r>
      <w:r w:rsidR="00DA6816" w:rsidRPr="00A47AFB">
        <w:rPr>
          <w:lang w:val="en-GB"/>
        </w:rPr>
        <w:t xml:space="preserve">Once a country is </w:t>
      </w:r>
      <w:r w:rsidR="007F3ADE" w:rsidRPr="00A47AFB">
        <w:rPr>
          <w:lang w:val="en-GB"/>
        </w:rPr>
        <w:t>defined as an STC, Art.33(2)(c)</w:t>
      </w:r>
      <w:r w:rsidR="00DA6816" w:rsidRPr="00A47AFB">
        <w:rPr>
          <w:lang w:val="en-GB"/>
        </w:rPr>
        <w:t xml:space="preserve">APD stipulates that </w:t>
      </w:r>
      <w:r w:rsidR="001E6151" w:rsidRPr="00A47AFB">
        <w:rPr>
          <w:lang w:val="en-GB"/>
        </w:rPr>
        <w:t>international protection requests of</w:t>
      </w:r>
      <w:r w:rsidR="00DA6816" w:rsidRPr="00A47AFB">
        <w:rPr>
          <w:lang w:val="en-GB"/>
        </w:rPr>
        <w:t xml:space="preserve"> people originating or transiting through that country can be deemed inadmissible on that basis</w:t>
      </w:r>
      <w:r w:rsidR="001E6151" w:rsidRPr="00A47AFB">
        <w:rPr>
          <w:lang w:val="en-GB"/>
        </w:rPr>
        <w:t xml:space="preserve"> – referred to as ‘the STC exception’</w:t>
      </w:r>
      <w:r w:rsidR="00DA6816" w:rsidRPr="00A47AFB">
        <w:rPr>
          <w:rStyle w:val="FootnoteReference"/>
          <w:lang w:val="en-GB"/>
        </w:rPr>
        <w:footnoteReference w:id="55"/>
      </w:r>
      <w:r w:rsidR="00DA6816" w:rsidRPr="00A47AFB">
        <w:rPr>
          <w:lang w:val="en-GB"/>
        </w:rPr>
        <w:t>.</w:t>
      </w:r>
      <w:r w:rsidR="00E25D03" w:rsidRPr="00A47AFB">
        <w:rPr>
          <w:lang w:val="en-GB"/>
        </w:rPr>
        <w:t xml:space="preserve"> </w:t>
      </w:r>
      <w:r w:rsidR="00DA6816" w:rsidRPr="00A47AFB">
        <w:rPr>
          <w:lang w:val="en-GB"/>
        </w:rPr>
        <w:t xml:space="preserve">The </w:t>
      </w:r>
      <w:r w:rsidR="001E6151" w:rsidRPr="00A47AFB">
        <w:rPr>
          <w:lang w:val="en-GB"/>
        </w:rPr>
        <w:t xml:space="preserve">RD </w:t>
      </w:r>
      <w:r w:rsidR="00DA6816" w:rsidRPr="00A47AFB">
        <w:rPr>
          <w:lang w:val="en-GB"/>
        </w:rPr>
        <w:t>also provides some safeguards, although significantly less than the APD, for expelled illegal immigrants awaiting readmission to an STC. The RD prohibits</w:t>
      </w:r>
      <w:r w:rsidR="00E25D03" w:rsidRPr="00A47AFB">
        <w:rPr>
          <w:lang w:val="en-GB"/>
        </w:rPr>
        <w:t xml:space="preserve"> readmission if he/she risks</w:t>
      </w:r>
      <w:r w:rsidR="00DA6816" w:rsidRPr="00A47AFB">
        <w:rPr>
          <w:lang w:val="en-GB"/>
        </w:rPr>
        <w:t xml:space="preserve"> persecution and</w:t>
      </w:r>
      <w:r w:rsidR="00E25D03" w:rsidRPr="00A47AFB">
        <w:rPr>
          <w:lang w:val="en-GB"/>
        </w:rPr>
        <w:t>/or</w:t>
      </w:r>
      <w:r w:rsidR="00DA6816" w:rsidRPr="00A47AFB">
        <w:rPr>
          <w:lang w:val="en-GB"/>
        </w:rPr>
        <w:t xml:space="preserve"> serious </w:t>
      </w:r>
      <w:r w:rsidR="001E6151" w:rsidRPr="00A47AFB">
        <w:rPr>
          <w:lang w:val="en-GB"/>
        </w:rPr>
        <w:t>harm, and</w:t>
      </w:r>
      <w:r w:rsidR="00DA6816" w:rsidRPr="00A47AFB">
        <w:rPr>
          <w:lang w:val="en-GB"/>
        </w:rPr>
        <w:t xml:space="preserve"> includes fundamental rights protection provisions</w:t>
      </w:r>
      <w:r w:rsidR="004634E1" w:rsidRPr="00A47AFB">
        <w:rPr>
          <w:rStyle w:val="FootnoteReference"/>
          <w:lang w:val="en-GB"/>
        </w:rPr>
        <w:footnoteReference w:id="56"/>
      </w:r>
      <w:r w:rsidR="00DA6816" w:rsidRPr="00A47AFB">
        <w:rPr>
          <w:lang w:val="en-GB"/>
        </w:rPr>
        <w:t xml:space="preserve">. Thus, </w:t>
      </w:r>
      <w:r w:rsidR="00EC2DBE" w:rsidRPr="00A47AFB">
        <w:rPr>
          <w:lang w:val="en-GB"/>
        </w:rPr>
        <w:t>Coleman argues,</w:t>
      </w:r>
      <w:r w:rsidR="00DA6816" w:rsidRPr="00A47AFB">
        <w:rPr>
          <w:lang w:val="en-GB"/>
        </w:rPr>
        <w:t xml:space="preserve"> it is the individual member-state</w:t>
      </w:r>
      <w:r w:rsidR="00DD06FD">
        <w:rPr>
          <w:lang w:val="en-GB"/>
        </w:rPr>
        <w:t>’</w:t>
      </w:r>
      <w:r w:rsidR="00DA6816" w:rsidRPr="00A47AFB">
        <w:rPr>
          <w:lang w:val="en-GB"/>
        </w:rPr>
        <w:t>s national laws on STCs rather than the EU readmission practices that are incompatible with the International and European Framework, as the rejection and expulsion of protection seekers and illegal migrants are determined domestically</w:t>
      </w:r>
      <w:r w:rsidR="00DA6816" w:rsidRPr="00A47AFB">
        <w:rPr>
          <w:rStyle w:val="FootnoteReference"/>
          <w:lang w:val="en-GB"/>
        </w:rPr>
        <w:footnoteReference w:id="57"/>
      </w:r>
      <w:r w:rsidR="00DA6816" w:rsidRPr="00A47AFB">
        <w:rPr>
          <w:lang w:val="en-GB"/>
        </w:rPr>
        <w:t>.</w:t>
      </w:r>
    </w:p>
    <w:p w14:paraId="13F53741" w14:textId="0A05E601" w:rsidR="00033FD1" w:rsidRPr="00A47AFB" w:rsidRDefault="00DA6816" w:rsidP="00F87BA1">
      <w:pPr>
        <w:spacing w:after="240" w:line="360" w:lineRule="auto"/>
        <w:jc w:val="both"/>
        <w:rPr>
          <w:lang w:val="en-GB"/>
        </w:rPr>
      </w:pPr>
      <w:r w:rsidRPr="00A47AFB">
        <w:rPr>
          <w:lang w:val="en-GB"/>
        </w:rPr>
        <w:tab/>
      </w:r>
      <w:r w:rsidR="00177EE1" w:rsidRPr="00A47AFB">
        <w:rPr>
          <w:lang w:val="en-GB"/>
        </w:rPr>
        <w:t>However, t</w:t>
      </w:r>
      <w:r w:rsidRPr="00A47AFB">
        <w:rPr>
          <w:lang w:val="en-GB"/>
        </w:rPr>
        <w:t>he EU has gradually encroached</w:t>
      </w:r>
      <w:r w:rsidR="00EE5F33" w:rsidRPr="00A47AFB">
        <w:rPr>
          <w:lang w:val="en-GB"/>
        </w:rPr>
        <w:t xml:space="preserve"> on</w:t>
      </w:r>
      <w:r w:rsidRPr="00A47AFB">
        <w:rPr>
          <w:lang w:val="en-GB"/>
        </w:rPr>
        <w:t xml:space="preserve"> member-states’ </w:t>
      </w:r>
      <w:r w:rsidR="00EE5F33" w:rsidRPr="00A47AFB">
        <w:rPr>
          <w:lang w:val="en-GB"/>
        </w:rPr>
        <w:t>competence in</w:t>
      </w:r>
      <w:r w:rsidRPr="00A47AFB">
        <w:rPr>
          <w:lang w:val="en-GB"/>
        </w:rPr>
        <w:t xml:space="preserve"> defining STCs. </w:t>
      </w:r>
      <w:r w:rsidR="001E6151" w:rsidRPr="00A47AFB">
        <w:rPr>
          <w:lang w:val="en-GB"/>
        </w:rPr>
        <w:t xml:space="preserve">Firstly, the EU recently proposed a regulation that established a common </w:t>
      </w:r>
      <w:r w:rsidR="00EE5F33" w:rsidRPr="00A47AFB">
        <w:rPr>
          <w:lang w:val="en-GB"/>
        </w:rPr>
        <w:t>list of “safe countries of origin” binding on all states</w:t>
      </w:r>
      <w:r w:rsidR="00BA549F" w:rsidRPr="00A47AFB">
        <w:rPr>
          <w:rStyle w:val="FootnoteReference"/>
          <w:lang w:val="en-GB"/>
        </w:rPr>
        <w:footnoteReference w:id="58"/>
      </w:r>
      <w:r w:rsidR="00EE5F33" w:rsidRPr="00A47AFB">
        <w:rPr>
          <w:lang w:val="en-GB"/>
        </w:rPr>
        <w:t xml:space="preserve">. </w:t>
      </w:r>
      <w:r w:rsidR="001E6151" w:rsidRPr="00A47AFB">
        <w:rPr>
          <w:lang w:val="en-GB"/>
        </w:rPr>
        <w:t xml:space="preserve">Secondly, the EU </w:t>
      </w:r>
      <w:r w:rsidR="00033FD1" w:rsidRPr="00A47AFB">
        <w:rPr>
          <w:lang w:val="en-GB"/>
        </w:rPr>
        <w:t xml:space="preserve">declared - </w:t>
      </w:r>
      <w:r w:rsidR="00E25D03" w:rsidRPr="00A47AFB">
        <w:rPr>
          <w:lang w:val="en-GB"/>
        </w:rPr>
        <w:t>in a</w:t>
      </w:r>
      <w:r w:rsidR="00177EE1" w:rsidRPr="00A47AFB">
        <w:rPr>
          <w:lang w:val="en-GB"/>
        </w:rPr>
        <w:t>n EC-</w:t>
      </w:r>
      <w:r w:rsidR="00033FD1" w:rsidRPr="00A47AFB">
        <w:rPr>
          <w:lang w:val="en-GB"/>
        </w:rPr>
        <w:t>C</w:t>
      </w:r>
      <w:r w:rsidR="00E25D03" w:rsidRPr="00A47AFB">
        <w:rPr>
          <w:lang w:val="en-GB"/>
        </w:rPr>
        <w:t>ommunication</w:t>
      </w:r>
      <w:r w:rsidR="00033FD1" w:rsidRPr="00A47AFB">
        <w:rPr>
          <w:lang w:val="en-GB"/>
        </w:rPr>
        <w:t xml:space="preserve"> following the EU-Turkey deal -</w:t>
      </w:r>
      <w:r w:rsidR="00E25D03" w:rsidRPr="00A47AFB">
        <w:rPr>
          <w:lang w:val="en-GB"/>
        </w:rPr>
        <w:t xml:space="preserve"> that the STC exception would apply to protection seekers originating or transiting through Turkey</w:t>
      </w:r>
      <w:bookmarkStart w:id="21" w:name="_Ref479458005"/>
      <w:r w:rsidR="00BA549F" w:rsidRPr="00A47AFB">
        <w:rPr>
          <w:rStyle w:val="FootnoteReference"/>
          <w:lang w:val="en-GB"/>
        </w:rPr>
        <w:footnoteReference w:id="59"/>
      </w:r>
      <w:bookmarkEnd w:id="21"/>
      <w:r w:rsidR="00E25D03" w:rsidRPr="00A47AFB">
        <w:rPr>
          <w:lang w:val="en-GB"/>
        </w:rPr>
        <w:t xml:space="preserve">. </w:t>
      </w:r>
      <w:r w:rsidR="001E6151" w:rsidRPr="00A47AFB">
        <w:rPr>
          <w:lang w:val="en-GB"/>
        </w:rPr>
        <w:t>Consequently</w:t>
      </w:r>
      <w:r w:rsidR="00033FD1" w:rsidRPr="00A47AFB">
        <w:rPr>
          <w:lang w:val="en-GB"/>
        </w:rPr>
        <w:t xml:space="preserve">, the increased EU control over STC policy now renders </w:t>
      </w:r>
      <w:r w:rsidR="001E6151" w:rsidRPr="00A47AFB">
        <w:rPr>
          <w:lang w:val="en-GB"/>
        </w:rPr>
        <w:t>the EU’s</w:t>
      </w:r>
      <w:r w:rsidR="00033FD1" w:rsidRPr="00A47AFB">
        <w:rPr>
          <w:lang w:val="en-GB"/>
        </w:rPr>
        <w:t xml:space="preserve"> readmission practices</w:t>
      </w:r>
      <w:r w:rsidR="001E6151" w:rsidRPr="00A47AFB">
        <w:rPr>
          <w:lang w:val="en-GB"/>
        </w:rPr>
        <w:t xml:space="preserve"> explicitly </w:t>
      </w:r>
      <w:r w:rsidR="00033FD1" w:rsidRPr="00A47AFB">
        <w:rPr>
          <w:lang w:val="en-GB"/>
        </w:rPr>
        <w:t>liable for</w:t>
      </w:r>
      <w:r w:rsidR="001E6151" w:rsidRPr="00A47AFB">
        <w:rPr>
          <w:lang w:val="en-GB"/>
        </w:rPr>
        <w:t xml:space="preserve"> non-</w:t>
      </w:r>
      <w:proofErr w:type="spellStart"/>
      <w:r w:rsidR="001E6151" w:rsidRPr="00A47AFB">
        <w:rPr>
          <w:lang w:val="en-GB"/>
        </w:rPr>
        <w:t>refoulement</w:t>
      </w:r>
      <w:proofErr w:type="spellEnd"/>
      <w:r w:rsidR="00033FD1" w:rsidRPr="00A47AFB">
        <w:rPr>
          <w:lang w:val="en-GB"/>
        </w:rPr>
        <w:t xml:space="preserve"> violation</w:t>
      </w:r>
      <w:r w:rsidR="001E6151" w:rsidRPr="00A47AFB">
        <w:rPr>
          <w:lang w:val="en-GB"/>
        </w:rPr>
        <w:t>s</w:t>
      </w:r>
      <w:r w:rsidR="00033FD1" w:rsidRPr="00A47AFB">
        <w:rPr>
          <w:lang w:val="en-GB"/>
        </w:rPr>
        <w:t xml:space="preserve">. Arguably, the </w:t>
      </w:r>
      <w:r w:rsidR="001E6151" w:rsidRPr="00A47AFB">
        <w:rPr>
          <w:lang w:val="en-GB"/>
        </w:rPr>
        <w:t xml:space="preserve">increased liability does not translate into incongruence of EU readmission practices with </w:t>
      </w:r>
      <w:r w:rsidR="00033FD1" w:rsidRPr="00A47AFB">
        <w:rPr>
          <w:lang w:val="en-GB"/>
        </w:rPr>
        <w:t xml:space="preserve">European and International framework </w:t>
      </w:r>
      <w:r w:rsidR="00033FD1" w:rsidRPr="00A47AFB">
        <w:rPr>
          <w:i/>
          <w:lang w:val="en-GB"/>
        </w:rPr>
        <w:t>per se</w:t>
      </w:r>
      <w:r w:rsidR="00033FD1" w:rsidRPr="00A47AFB">
        <w:rPr>
          <w:lang w:val="en-GB"/>
        </w:rPr>
        <w:t>.</w:t>
      </w:r>
      <w:r w:rsidR="001E6151" w:rsidRPr="00A47AFB">
        <w:rPr>
          <w:lang w:val="en-GB"/>
        </w:rPr>
        <w:t xml:space="preserve"> Conversely</w:t>
      </w:r>
      <w:r w:rsidR="00033FD1" w:rsidRPr="00A47AFB">
        <w:rPr>
          <w:lang w:val="en-GB"/>
        </w:rPr>
        <w:t>, the EU readmission practices observe the non-</w:t>
      </w:r>
      <w:proofErr w:type="spellStart"/>
      <w:r w:rsidR="00033FD1" w:rsidRPr="00A47AFB">
        <w:rPr>
          <w:lang w:val="en-GB"/>
        </w:rPr>
        <w:t>refoulement</w:t>
      </w:r>
      <w:proofErr w:type="spellEnd"/>
      <w:r w:rsidR="00177EE1" w:rsidRPr="00A47AFB">
        <w:rPr>
          <w:lang w:val="en-GB"/>
        </w:rPr>
        <w:t xml:space="preserve"> principle</w:t>
      </w:r>
      <w:r w:rsidR="00033FD1" w:rsidRPr="00A47AFB">
        <w:rPr>
          <w:lang w:val="en-GB"/>
        </w:rPr>
        <w:t xml:space="preserve">, and provide safeguards against expulsions of persons who risk serious harm or persecution, and is, in this vein, </w:t>
      </w:r>
      <w:r w:rsidR="001E6151" w:rsidRPr="00A47AFB">
        <w:rPr>
          <w:lang w:val="en-GB"/>
        </w:rPr>
        <w:t xml:space="preserve">compatible </w:t>
      </w:r>
      <w:r w:rsidR="00033FD1" w:rsidRPr="00A47AFB">
        <w:rPr>
          <w:lang w:val="en-GB"/>
        </w:rPr>
        <w:t>with the International and European framework</w:t>
      </w:r>
      <w:r w:rsidR="002C6C8A" w:rsidRPr="00A47AFB">
        <w:rPr>
          <w:rStyle w:val="FootnoteReference"/>
          <w:lang w:val="en-GB"/>
        </w:rPr>
        <w:footnoteReference w:id="60"/>
      </w:r>
      <w:r w:rsidR="00033FD1" w:rsidRPr="00A47AFB">
        <w:rPr>
          <w:lang w:val="en-GB"/>
        </w:rPr>
        <w:t>.</w:t>
      </w:r>
    </w:p>
    <w:p w14:paraId="25DE0D7A" w14:textId="23B45694" w:rsidR="00F87BA1" w:rsidRPr="00A47AFB" w:rsidRDefault="00250C97" w:rsidP="00033FD1">
      <w:pPr>
        <w:spacing w:line="360" w:lineRule="auto"/>
        <w:jc w:val="both"/>
        <w:rPr>
          <w:lang w:val="en-GB"/>
        </w:rPr>
      </w:pPr>
      <w:r w:rsidRPr="00A47AFB">
        <w:rPr>
          <w:lang w:val="en-GB"/>
        </w:rPr>
        <w:tab/>
      </w:r>
      <w:r w:rsidR="00F74ACB" w:rsidRPr="00A47AFB">
        <w:rPr>
          <w:lang w:val="en-GB"/>
        </w:rPr>
        <w:t>The following sections will examine the veracity of this claim, especially in conjunction with the progressive development of non-</w:t>
      </w:r>
      <w:proofErr w:type="spellStart"/>
      <w:r w:rsidR="00F74ACB" w:rsidRPr="00A47AFB">
        <w:rPr>
          <w:lang w:val="en-GB"/>
        </w:rPr>
        <w:t>refoulement’s</w:t>
      </w:r>
      <w:proofErr w:type="spellEnd"/>
      <w:r w:rsidR="00F74ACB" w:rsidRPr="00A47AFB">
        <w:rPr>
          <w:lang w:val="en-GB"/>
        </w:rPr>
        <w:t xml:space="preserve"> </w:t>
      </w:r>
      <w:proofErr w:type="spellStart"/>
      <w:r w:rsidR="00F74ACB" w:rsidRPr="00A47AFB">
        <w:rPr>
          <w:i/>
          <w:lang w:val="en-GB"/>
        </w:rPr>
        <w:t>ratione</w:t>
      </w:r>
      <w:proofErr w:type="spellEnd"/>
      <w:r w:rsidR="00F74ACB" w:rsidRPr="00A47AFB">
        <w:rPr>
          <w:i/>
          <w:lang w:val="en-GB"/>
        </w:rPr>
        <w:t xml:space="preserve"> loci </w:t>
      </w:r>
      <w:r w:rsidR="00F74ACB" w:rsidRPr="00A47AFB">
        <w:rPr>
          <w:lang w:val="en-GB"/>
        </w:rPr>
        <w:t xml:space="preserve">by codification and </w:t>
      </w:r>
      <w:r w:rsidR="00F74ACB" w:rsidRPr="00A47AFB">
        <w:rPr>
          <w:lang w:val="en-GB"/>
        </w:rPr>
        <w:lastRenderedPageBreak/>
        <w:t xml:space="preserve">judicial interpretation. This will be </w:t>
      </w:r>
      <w:r w:rsidR="001E6151" w:rsidRPr="00A47AFB">
        <w:rPr>
          <w:lang w:val="en-GB"/>
        </w:rPr>
        <w:t>assessed in two regards; first</w:t>
      </w:r>
      <w:r w:rsidR="00F74ACB" w:rsidRPr="00A47AFB">
        <w:rPr>
          <w:lang w:val="en-GB"/>
        </w:rPr>
        <w:t xml:space="preserve">, the liability of the Sending State for onward </w:t>
      </w:r>
      <w:proofErr w:type="spellStart"/>
      <w:r w:rsidR="00F74ACB" w:rsidRPr="00A47AFB">
        <w:rPr>
          <w:lang w:val="en-GB"/>
        </w:rPr>
        <w:t>refoulemen</w:t>
      </w:r>
      <w:r w:rsidR="001E6151" w:rsidRPr="00A47AFB">
        <w:rPr>
          <w:lang w:val="en-GB"/>
        </w:rPr>
        <w:t>t</w:t>
      </w:r>
      <w:proofErr w:type="spellEnd"/>
      <w:r w:rsidR="001E6151" w:rsidRPr="00A47AFB">
        <w:rPr>
          <w:lang w:val="en-GB"/>
        </w:rPr>
        <w:t xml:space="preserve"> by the Receiving STC; second</w:t>
      </w:r>
      <w:r w:rsidR="00F74ACB" w:rsidRPr="00A47AFB">
        <w:rPr>
          <w:lang w:val="en-GB"/>
        </w:rPr>
        <w:t xml:space="preserve">, the </w:t>
      </w:r>
      <w:r w:rsidR="001E6151" w:rsidRPr="00A47AFB">
        <w:rPr>
          <w:lang w:val="en-GB"/>
        </w:rPr>
        <w:t>liability of the Sending State for</w:t>
      </w:r>
      <w:r w:rsidR="00F74ACB" w:rsidRPr="00A47AFB">
        <w:rPr>
          <w:lang w:val="en-GB"/>
        </w:rPr>
        <w:t xml:space="preserve"> collective expulsion outside </w:t>
      </w:r>
      <w:r w:rsidR="001E6151" w:rsidRPr="00A47AFB">
        <w:rPr>
          <w:lang w:val="en-GB"/>
        </w:rPr>
        <w:t>its</w:t>
      </w:r>
      <w:r w:rsidR="00F74ACB" w:rsidRPr="00A47AFB">
        <w:rPr>
          <w:lang w:val="en-GB"/>
        </w:rPr>
        <w:t xml:space="preserve"> territorial jurisdiction. </w:t>
      </w:r>
    </w:p>
    <w:p w14:paraId="138E2E9D" w14:textId="479E084F" w:rsidR="00F87BA1" w:rsidRPr="00A47AFB" w:rsidRDefault="00F87BA1" w:rsidP="00A47AFB">
      <w:pPr>
        <w:pStyle w:val="Heading1"/>
        <w:rPr>
          <w:b/>
          <w:color w:val="auto"/>
        </w:rPr>
      </w:pPr>
      <w:r w:rsidRPr="00A47AFB">
        <w:rPr>
          <w:b/>
          <w:color w:val="auto"/>
        </w:rPr>
        <w:t xml:space="preserve">II. Chain </w:t>
      </w:r>
      <w:proofErr w:type="spellStart"/>
      <w:r w:rsidRPr="00A47AFB">
        <w:rPr>
          <w:b/>
          <w:color w:val="auto"/>
        </w:rPr>
        <w:t>refoulement</w:t>
      </w:r>
      <w:proofErr w:type="spellEnd"/>
    </w:p>
    <w:p w14:paraId="509EF9A7" w14:textId="1663E047" w:rsidR="00F87BA1" w:rsidRPr="00A47AFB" w:rsidRDefault="00F87BA1" w:rsidP="00F87BA1">
      <w:pPr>
        <w:spacing w:after="240" w:line="360" w:lineRule="auto"/>
        <w:ind w:firstLine="720"/>
        <w:jc w:val="both"/>
        <w:rPr>
          <w:lang w:val="en-GB"/>
        </w:rPr>
      </w:pPr>
      <w:r w:rsidRPr="00A47AFB">
        <w:rPr>
          <w:lang w:val="en-GB"/>
        </w:rPr>
        <w:t>Non-</w:t>
      </w:r>
      <w:proofErr w:type="spellStart"/>
      <w:r w:rsidRPr="00A47AFB">
        <w:rPr>
          <w:lang w:val="en-GB"/>
        </w:rPr>
        <w:t>refoulement</w:t>
      </w:r>
      <w:proofErr w:type="spellEnd"/>
      <w:r w:rsidRPr="00A47AFB">
        <w:rPr>
          <w:lang w:val="en-GB"/>
        </w:rPr>
        <w:t xml:space="preserve"> has evolved, since its inception, through codification by the UNHCR and judicial interpretation by the ECtHR. These are distinct elements of international law-making and have</w:t>
      </w:r>
      <w:r w:rsidR="001E6151" w:rsidRPr="00A47AFB">
        <w:rPr>
          <w:lang w:val="en-GB"/>
        </w:rPr>
        <w:t xml:space="preserve"> helped</w:t>
      </w:r>
      <w:r w:rsidRPr="00A47AFB">
        <w:rPr>
          <w:lang w:val="en-GB"/>
        </w:rPr>
        <w:t xml:space="preserve"> extend the application of non-</w:t>
      </w:r>
      <w:proofErr w:type="spellStart"/>
      <w:r w:rsidRPr="00A47AFB">
        <w:rPr>
          <w:lang w:val="en-GB"/>
        </w:rPr>
        <w:t>refoulement</w:t>
      </w:r>
      <w:proofErr w:type="spellEnd"/>
      <w:r w:rsidRPr="00A47AFB">
        <w:rPr>
          <w:lang w:val="en-GB"/>
        </w:rPr>
        <w:t xml:space="preserve"> to prohibit “chain </w:t>
      </w:r>
      <w:proofErr w:type="spellStart"/>
      <w:r w:rsidRPr="00A47AFB">
        <w:rPr>
          <w:lang w:val="en-GB"/>
        </w:rPr>
        <w:t>refoulement</w:t>
      </w:r>
      <w:proofErr w:type="spellEnd"/>
      <w:r w:rsidRPr="00A47AFB">
        <w:rPr>
          <w:lang w:val="en-GB"/>
        </w:rPr>
        <w:t>”</w:t>
      </w:r>
      <w:r w:rsidR="002C6C8A" w:rsidRPr="00A47AFB">
        <w:rPr>
          <w:rStyle w:val="FootnoteReference"/>
          <w:lang w:val="en-GB"/>
        </w:rPr>
        <w:t xml:space="preserve"> </w:t>
      </w:r>
      <w:r w:rsidR="002C6C8A" w:rsidRPr="00A47AFB">
        <w:rPr>
          <w:rStyle w:val="FootnoteReference"/>
          <w:lang w:val="en-GB"/>
        </w:rPr>
        <w:footnoteReference w:id="61"/>
      </w:r>
      <w:r w:rsidRPr="00A47AFB">
        <w:rPr>
          <w:lang w:val="en-GB"/>
        </w:rPr>
        <w:t xml:space="preserve">. This section seeks to demonstrate how this development unfolded starting from the UNHCR advisory opinion to ECtHR ruling in the </w:t>
      </w:r>
      <w:r w:rsidRPr="00A47AFB">
        <w:rPr>
          <w:i/>
          <w:lang w:val="en-GB"/>
        </w:rPr>
        <w:t>TI v. UK</w:t>
      </w:r>
      <w:r w:rsidRPr="00A47AFB">
        <w:rPr>
          <w:lang w:val="en-GB"/>
        </w:rPr>
        <w:t xml:space="preserve"> case. It will then show how the EU-Turkey readmission deal fails to provide any protection against “chain </w:t>
      </w:r>
      <w:proofErr w:type="spellStart"/>
      <w:r w:rsidRPr="00A47AFB">
        <w:rPr>
          <w:lang w:val="en-GB"/>
        </w:rPr>
        <w:t>refoulement</w:t>
      </w:r>
      <w:proofErr w:type="spellEnd"/>
      <w:r w:rsidRPr="00A47AFB">
        <w:rPr>
          <w:lang w:val="en-GB"/>
        </w:rPr>
        <w:t>”.</w:t>
      </w:r>
    </w:p>
    <w:p w14:paraId="7DDC537B" w14:textId="051EB076" w:rsidR="00F87BA1" w:rsidRPr="00A47AFB" w:rsidRDefault="00F87BA1" w:rsidP="00F87BA1">
      <w:pPr>
        <w:rPr>
          <w:b/>
          <w:u w:val="single"/>
          <w:lang w:val="en-GB"/>
        </w:rPr>
      </w:pPr>
      <w:r w:rsidRPr="00A47AFB">
        <w:rPr>
          <w:b/>
          <w:u w:val="single"/>
          <w:lang w:val="en-GB"/>
        </w:rPr>
        <w:t>International Framework</w:t>
      </w:r>
    </w:p>
    <w:p w14:paraId="087B9165" w14:textId="6A1FDAB4" w:rsidR="00F87BA1" w:rsidRPr="00A47AFB" w:rsidRDefault="00F87BA1" w:rsidP="00A47AFB">
      <w:pPr>
        <w:spacing w:after="240" w:line="360" w:lineRule="auto"/>
        <w:ind w:firstLine="720"/>
        <w:jc w:val="both"/>
        <w:rPr>
          <w:lang w:val="en-GB"/>
        </w:rPr>
      </w:pPr>
      <w:r w:rsidRPr="00A47AFB">
        <w:rPr>
          <w:lang w:val="en-GB"/>
        </w:rPr>
        <w:t xml:space="preserve">“Chain </w:t>
      </w:r>
      <w:proofErr w:type="spellStart"/>
      <w:r w:rsidRPr="00A47AFB">
        <w:rPr>
          <w:lang w:val="en-GB"/>
        </w:rPr>
        <w:t>refoulement</w:t>
      </w:r>
      <w:proofErr w:type="spellEnd"/>
      <w:r w:rsidRPr="00A47AFB">
        <w:rPr>
          <w:lang w:val="en-GB"/>
        </w:rPr>
        <w:t xml:space="preserve">” can be established if the person is returned to an STC where they risk onward expulsion to their </w:t>
      </w:r>
      <w:r w:rsidR="00AC7B70" w:rsidRPr="00A47AFB">
        <w:rPr>
          <w:lang w:val="en-GB"/>
        </w:rPr>
        <w:t>CO</w:t>
      </w:r>
      <w:r w:rsidRPr="00A47AFB">
        <w:rPr>
          <w:lang w:val="en-GB"/>
        </w:rPr>
        <w:t xml:space="preserve"> and risk serious harm or </w:t>
      </w:r>
      <w:r w:rsidR="002B3D2D" w:rsidRPr="00A47AFB">
        <w:rPr>
          <w:lang w:val="en-GB"/>
        </w:rPr>
        <w:t>persecution</w:t>
      </w:r>
      <w:r w:rsidRPr="00A47AFB">
        <w:rPr>
          <w:lang w:val="en-GB"/>
        </w:rPr>
        <w:t xml:space="preserve"> contrary</w:t>
      </w:r>
      <w:r w:rsidR="00DF4BFE" w:rsidRPr="00A47AFB">
        <w:rPr>
          <w:lang w:val="en-GB"/>
        </w:rPr>
        <w:t xml:space="preserve"> to Art.33(</w:t>
      </w:r>
      <w:proofErr w:type="gramStart"/>
      <w:r w:rsidR="00DF4BFE" w:rsidRPr="00A47AFB">
        <w:rPr>
          <w:lang w:val="en-GB"/>
        </w:rPr>
        <w:t>1)RC</w:t>
      </w:r>
      <w:proofErr w:type="gramEnd"/>
      <w:r w:rsidR="00DF4BFE" w:rsidRPr="00A47AFB">
        <w:rPr>
          <w:lang w:val="en-GB"/>
        </w:rPr>
        <w:t xml:space="preserve"> and Art.3</w:t>
      </w:r>
      <w:r w:rsidRPr="00A47AFB">
        <w:rPr>
          <w:lang w:val="en-GB"/>
        </w:rPr>
        <w:t>ECHR, respectively</w:t>
      </w:r>
      <w:bookmarkStart w:id="22" w:name="_Ref478580270"/>
      <w:r w:rsidRPr="00A47AFB">
        <w:rPr>
          <w:rStyle w:val="FootnoteReference"/>
          <w:lang w:val="en-GB"/>
        </w:rPr>
        <w:footnoteReference w:id="62"/>
      </w:r>
      <w:bookmarkEnd w:id="22"/>
      <w:r w:rsidRPr="00A47AFB">
        <w:rPr>
          <w:lang w:val="en-GB"/>
        </w:rPr>
        <w:t xml:space="preserve">. “Chain </w:t>
      </w:r>
      <w:proofErr w:type="spellStart"/>
      <w:r w:rsidRPr="00A47AFB">
        <w:rPr>
          <w:lang w:val="en-GB"/>
        </w:rPr>
        <w:t>refoulement</w:t>
      </w:r>
      <w:proofErr w:type="spellEnd"/>
      <w:r w:rsidRPr="00A47AFB">
        <w:rPr>
          <w:lang w:val="en-GB"/>
        </w:rPr>
        <w:t>” is not explicitly prohibited under the</w:t>
      </w:r>
      <w:r w:rsidR="001E6151" w:rsidRPr="00A47AFB">
        <w:rPr>
          <w:lang w:val="en-GB"/>
        </w:rPr>
        <w:t xml:space="preserve"> RC</w:t>
      </w:r>
      <w:r w:rsidRPr="00A47AFB">
        <w:rPr>
          <w:lang w:val="en-GB"/>
        </w:rPr>
        <w:t xml:space="preserve"> and the responsibility for </w:t>
      </w:r>
      <w:proofErr w:type="spellStart"/>
      <w:r w:rsidRPr="00A47AFB">
        <w:rPr>
          <w:lang w:val="en-GB"/>
        </w:rPr>
        <w:t>refoulement</w:t>
      </w:r>
      <w:proofErr w:type="spellEnd"/>
      <w:r w:rsidRPr="00A47AFB">
        <w:rPr>
          <w:lang w:val="en-GB"/>
        </w:rPr>
        <w:t xml:space="preserve"> would be attributed to the third country</w:t>
      </w:r>
      <w:r w:rsidR="002C6C8A" w:rsidRPr="00A47AFB">
        <w:rPr>
          <w:rStyle w:val="FootnoteReference"/>
          <w:lang w:val="en-GB"/>
        </w:rPr>
        <w:footnoteReference w:id="63"/>
      </w:r>
      <w:r w:rsidRPr="00A47AFB">
        <w:rPr>
          <w:lang w:val="en-GB"/>
        </w:rPr>
        <w:t xml:space="preserve">. Neither the APD nor RD expressly prohibits “chain </w:t>
      </w:r>
      <w:proofErr w:type="spellStart"/>
      <w:r w:rsidRPr="00A47AFB">
        <w:rPr>
          <w:lang w:val="en-GB"/>
        </w:rPr>
        <w:t>refoulement</w:t>
      </w:r>
      <w:proofErr w:type="spellEnd"/>
      <w:r w:rsidRPr="00A47AFB">
        <w:rPr>
          <w:lang w:val="en-GB"/>
        </w:rPr>
        <w:t xml:space="preserve">” in readmission practices. </w:t>
      </w:r>
    </w:p>
    <w:p w14:paraId="07857EFA" w14:textId="333097D4" w:rsidR="00F87BA1" w:rsidRPr="00A47AFB" w:rsidRDefault="00F87BA1" w:rsidP="007C5687">
      <w:pPr>
        <w:spacing w:after="240" w:line="360" w:lineRule="auto"/>
        <w:ind w:firstLine="720"/>
        <w:jc w:val="both"/>
        <w:rPr>
          <w:lang w:val="en-GB"/>
        </w:rPr>
      </w:pPr>
      <w:r w:rsidRPr="00A47AFB">
        <w:rPr>
          <w:lang w:val="en-GB"/>
        </w:rPr>
        <w:t xml:space="preserve">The UNHCR has, in its advisory opinion and interventions, argued </w:t>
      </w:r>
      <w:r w:rsidR="00990FF7">
        <w:rPr>
          <w:lang w:val="en-GB"/>
        </w:rPr>
        <w:t>that pursuant to</w:t>
      </w:r>
      <w:r w:rsidRPr="00A47AFB">
        <w:rPr>
          <w:lang w:val="en-GB"/>
        </w:rPr>
        <w:t xml:space="preserve"> the primary rule of treaty interpretation - Art.31(1) 1969 Vienna Convention on the Law of Treaties (VCLT) - it is </w:t>
      </w:r>
      <w:r w:rsidR="00990FF7">
        <w:rPr>
          <w:lang w:val="en-GB"/>
        </w:rPr>
        <w:t>vital</w:t>
      </w:r>
      <w:r w:rsidRPr="00A47AFB">
        <w:rPr>
          <w:lang w:val="en-GB"/>
        </w:rPr>
        <w:t xml:space="preserve"> to examine the ordinary meaning</w:t>
      </w:r>
      <w:r w:rsidR="00DF4BFE" w:rsidRPr="00A47AFB">
        <w:rPr>
          <w:lang w:val="en-GB"/>
        </w:rPr>
        <w:t xml:space="preserve"> of non-</w:t>
      </w:r>
      <w:proofErr w:type="spellStart"/>
      <w:r w:rsidR="00DF4BFE" w:rsidRPr="00A47AFB">
        <w:rPr>
          <w:lang w:val="en-GB"/>
        </w:rPr>
        <w:t>refoulement</w:t>
      </w:r>
      <w:proofErr w:type="spellEnd"/>
      <w:r w:rsidR="00DF4BFE" w:rsidRPr="00A47AFB">
        <w:rPr>
          <w:lang w:val="en-GB"/>
        </w:rPr>
        <w:t xml:space="preserve"> in Art.33(1)RC</w:t>
      </w:r>
      <w:r w:rsidRPr="00A47AFB">
        <w:rPr>
          <w:lang w:val="en-GB"/>
        </w:rPr>
        <w:t xml:space="preserve">, </w:t>
      </w:r>
      <w:r w:rsidR="009622F2">
        <w:rPr>
          <w:lang w:val="en-GB"/>
        </w:rPr>
        <w:t xml:space="preserve">considering both </w:t>
      </w:r>
      <w:r w:rsidRPr="00A47AFB">
        <w:rPr>
          <w:lang w:val="en-GB"/>
        </w:rPr>
        <w:t>the context</w:t>
      </w:r>
      <w:r w:rsidR="009622F2">
        <w:rPr>
          <w:lang w:val="en-GB"/>
        </w:rPr>
        <w:t xml:space="preserve"> and</w:t>
      </w:r>
      <w:r w:rsidRPr="00A47AFB">
        <w:rPr>
          <w:lang w:val="en-GB"/>
        </w:rPr>
        <w:t xml:space="preserve"> the treaty’s </w:t>
      </w:r>
      <w:bookmarkStart w:id="23" w:name="_Ref478838566"/>
      <w:r w:rsidRPr="00A47AFB">
        <w:rPr>
          <w:lang w:val="en-GB"/>
        </w:rPr>
        <w:t>object and purpose</w:t>
      </w:r>
      <w:bookmarkStart w:id="24" w:name="_Ref479455847"/>
      <w:r w:rsidRPr="00A47AFB">
        <w:rPr>
          <w:rStyle w:val="FootnoteReference"/>
          <w:lang w:val="en-GB"/>
        </w:rPr>
        <w:footnoteReference w:id="64"/>
      </w:r>
      <w:bookmarkEnd w:id="23"/>
      <w:bookmarkEnd w:id="24"/>
      <w:r w:rsidRPr="00A47AFB">
        <w:rPr>
          <w:lang w:val="en-GB"/>
        </w:rPr>
        <w:t>. The UNHCR argued that</w:t>
      </w:r>
      <w:r w:rsidR="009622F2">
        <w:rPr>
          <w:lang w:val="en-GB"/>
        </w:rPr>
        <w:t xml:space="preserve"> the interpretation of</w:t>
      </w:r>
      <w:r w:rsidR="007F0A5C">
        <w:rPr>
          <w:lang w:val="en-GB"/>
        </w:rPr>
        <w:t xml:space="preserve"> </w:t>
      </w:r>
      <w:proofErr w:type="spellStart"/>
      <w:r w:rsidRPr="00A47AFB">
        <w:rPr>
          <w:lang w:val="en-GB"/>
        </w:rPr>
        <w:t>refoule</w:t>
      </w:r>
      <w:r w:rsidR="007F0A5C">
        <w:rPr>
          <w:lang w:val="en-GB"/>
        </w:rPr>
        <w:t>ment</w:t>
      </w:r>
      <w:proofErr w:type="spellEnd"/>
      <w:r w:rsidRPr="00A47AFB">
        <w:rPr>
          <w:lang w:val="en-GB"/>
        </w:rPr>
        <w:t xml:space="preserve"> cannot </w:t>
      </w:r>
      <w:r w:rsidR="009622F2">
        <w:rPr>
          <w:lang w:val="en-GB"/>
        </w:rPr>
        <w:t xml:space="preserve">be confined </w:t>
      </w:r>
      <w:r w:rsidRPr="00A47AFB">
        <w:rPr>
          <w:lang w:val="en-GB"/>
        </w:rPr>
        <w:t>to refugees who have already entered a Contracting State’s territory</w:t>
      </w:r>
      <w:r w:rsidRPr="00A47AFB">
        <w:rPr>
          <w:rStyle w:val="FootnoteReference"/>
          <w:lang w:val="en-GB"/>
        </w:rPr>
        <w:footnoteReference w:id="65"/>
      </w:r>
      <w:r w:rsidRPr="00A47AFB">
        <w:rPr>
          <w:lang w:val="en-GB"/>
        </w:rPr>
        <w:t xml:space="preserve">. </w:t>
      </w:r>
      <w:r w:rsidR="00877702">
        <w:rPr>
          <w:lang w:val="en-GB"/>
        </w:rPr>
        <w:t>Such interpretation would</w:t>
      </w:r>
      <w:r w:rsidR="007F0A5C">
        <w:rPr>
          <w:lang w:val="en-GB"/>
        </w:rPr>
        <w:t xml:space="preserve"> </w:t>
      </w:r>
      <w:r w:rsidR="00877702">
        <w:rPr>
          <w:lang w:val="en-GB"/>
        </w:rPr>
        <w:t>absolve the Sending State of</w:t>
      </w:r>
      <w:r w:rsidR="007F0A5C">
        <w:rPr>
          <w:lang w:val="en-GB"/>
        </w:rPr>
        <w:t xml:space="preserve"> responsibility for non-</w:t>
      </w:r>
      <w:proofErr w:type="spellStart"/>
      <w:r w:rsidR="007F0A5C">
        <w:rPr>
          <w:lang w:val="en-GB"/>
        </w:rPr>
        <w:t>refoulement</w:t>
      </w:r>
      <w:proofErr w:type="spellEnd"/>
      <w:r w:rsidR="007F0A5C">
        <w:rPr>
          <w:lang w:val="en-GB"/>
        </w:rPr>
        <w:t xml:space="preserve"> violations</w:t>
      </w:r>
      <w:r w:rsidR="00877702">
        <w:rPr>
          <w:lang w:val="en-GB"/>
        </w:rPr>
        <w:t xml:space="preserve"> of returning</w:t>
      </w:r>
      <w:r w:rsidR="007C5687">
        <w:rPr>
          <w:lang w:val="en-GB"/>
        </w:rPr>
        <w:t xml:space="preserve"> refugee</w:t>
      </w:r>
      <w:r w:rsidR="00877702">
        <w:rPr>
          <w:lang w:val="en-GB"/>
        </w:rPr>
        <w:t>s</w:t>
      </w:r>
      <w:r w:rsidR="007C5687">
        <w:rPr>
          <w:lang w:val="en-GB"/>
        </w:rPr>
        <w:t xml:space="preserve"> to an STC where he/she risks</w:t>
      </w:r>
      <w:r w:rsidR="007F0A5C">
        <w:rPr>
          <w:lang w:val="en-GB"/>
        </w:rPr>
        <w:t xml:space="preserve"> onward expulsion</w:t>
      </w:r>
      <w:r w:rsidR="007C5687">
        <w:rPr>
          <w:lang w:val="en-GB"/>
        </w:rPr>
        <w:t xml:space="preserve"> to persecution</w:t>
      </w:r>
      <w:r w:rsidR="00877702">
        <w:rPr>
          <w:lang w:val="en-GB"/>
        </w:rPr>
        <w:t>, which is</w:t>
      </w:r>
      <w:r w:rsidR="002B3D2D" w:rsidRPr="00A47AFB">
        <w:rPr>
          <w:lang w:val="en-GB"/>
        </w:rPr>
        <w:t xml:space="preserve"> antithetical to </w:t>
      </w:r>
      <w:r w:rsidRPr="00A47AFB">
        <w:rPr>
          <w:lang w:val="en-GB"/>
        </w:rPr>
        <w:t>the</w:t>
      </w:r>
      <w:r w:rsidR="00DF4BFE" w:rsidRPr="00A47AFB">
        <w:rPr>
          <w:lang w:val="en-GB"/>
        </w:rPr>
        <w:t xml:space="preserve"> RC’s and its 1967 Protocol’s</w:t>
      </w:r>
      <w:r w:rsidRPr="00A47AFB">
        <w:rPr>
          <w:lang w:val="en-GB"/>
        </w:rPr>
        <w:t xml:space="preserve"> </w:t>
      </w:r>
      <w:r w:rsidRPr="00A47AFB">
        <w:rPr>
          <w:lang w:val="en-GB"/>
        </w:rPr>
        <w:lastRenderedPageBreak/>
        <w:t>humani</w:t>
      </w:r>
      <w:r w:rsidR="00DF4BFE" w:rsidRPr="00A47AFB">
        <w:rPr>
          <w:lang w:val="en-GB"/>
        </w:rPr>
        <w:t>tarian object and purpose</w:t>
      </w:r>
      <w:r w:rsidRPr="00A47AFB">
        <w:rPr>
          <w:rStyle w:val="FootnoteReference"/>
          <w:lang w:val="en-GB"/>
        </w:rPr>
        <w:footnoteReference w:id="66"/>
      </w:r>
      <w:r w:rsidRPr="00A47AFB">
        <w:rPr>
          <w:lang w:val="en-GB"/>
        </w:rPr>
        <w:t>.</w:t>
      </w:r>
      <w:r w:rsidR="00127B75" w:rsidRPr="00A47AFB">
        <w:rPr>
          <w:lang w:val="en-GB"/>
        </w:rPr>
        <w:t xml:space="preserve"> Non-</w:t>
      </w:r>
      <w:proofErr w:type="spellStart"/>
      <w:r w:rsidR="00127B75" w:rsidRPr="00A47AFB">
        <w:rPr>
          <w:lang w:val="en-GB"/>
        </w:rPr>
        <w:t>refoulement</w:t>
      </w:r>
      <w:proofErr w:type="spellEnd"/>
      <w:r w:rsidR="007C5687">
        <w:rPr>
          <w:lang w:val="en-GB"/>
        </w:rPr>
        <w:t xml:space="preserve"> should</w:t>
      </w:r>
      <w:r w:rsidR="007F0A5C">
        <w:rPr>
          <w:lang w:val="en-GB"/>
        </w:rPr>
        <w:t xml:space="preserve">, as in human rights law, </w:t>
      </w:r>
      <w:r w:rsidR="007C5687">
        <w:rPr>
          <w:lang w:val="en-GB"/>
        </w:rPr>
        <w:t>be interpreted to make the</w:t>
      </w:r>
      <w:r w:rsidR="007F0A5C">
        <w:rPr>
          <w:lang w:val="en-GB"/>
        </w:rPr>
        <w:t xml:space="preserve"> Sending State liable for violations </w:t>
      </w:r>
      <w:r w:rsidR="007C5687">
        <w:rPr>
          <w:lang w:val="en-GB"/>
        </w:rPr>
        <w:t>beyond its territorial boundaries, if</w:t>
      </w:r>
      <w:r w:rsidR="007C5687" w:rsidRPr="007C5687">
        <w:t xml:space="preserve"> </w:t>
      </w:r>
      <w:r w:rsidR="007C5687">
        <w:t xml:space="preserve">its </w:t>
      </w:r>
      <w:r w:rsidR="007C5687">
        <w:rPr>
          <w:lang w:val="en-GB"/>
        </w:rPr>
        <w:t>effective control over the returnee can be established</w:t>
      </w:r>
      <w:r w:rsidRPr="00A47AFB">
        <w:rPr>
          <w:rStyle w:val="FootnoteReference"/>
          <w:lang w:val="en-GB"/>
        </w:rPr>
        <w:footnoteReference w:id="67"/>
      </w:r>
      <w:r w:rsidR="007C5687">
        <w:rPr>
          <w:lang w:val="en-GB"/>
        </w:rPr>
        <w:t>. Accordingly, the Sending S</w:t>
      </w:r>
      <w:r w:rsidRPr="00A47AFB">
        <w:rPr>
          <w:lang w:val="en-GB"/>
        </w:rPr>
        <w:t>tate is required to investigate whether the STC will undertake status determinat</w:t>
      </w:r>
      <w:r w:rsidR="002B3D2D" w:rsidRPr="00A47AFB">
        <w:rPr>
          <w:lang w:val="en-GB"/>
        </w:rPr>
        <w:t>ion, and can arguably only readmit</w:t>
      </w:r>
      <w:r w:rsidRPr="00A47AFB">
        <w:rPr>
          <w:lang w:val="en-GB"/>
        </w:rPr>
        <w:t xml:space="preserve"> protection seeker</w:t>
      </w:r>
      <w:r w:rsidR="002B3D2D" w:rsidRPr="00A47AFB">
        <w:rPr>
          <w:lang w:val="en-GB"/>
        </w:rPr>
        <w:t>s</w:t>
      </w:r>
      <w:r w:rsidRPr="00A47AFB">
        <w:rPr>
          <w:lang w:val="en-GB"/>
        </w:rPr>
        <w:t xml:space="preserve"> if he/she is</w:t>
      </w:r>
      <w:r w:rsidR="002B3D2D" w:rsidRPr="00A47AFB">
        <w:rPr>
          <w:lang w:val="en-GB"/>
        </w:rPr>
        <w:t xml:space="preserve"> guaranteed protection from onward </w:t>
      </w:r>
      <w:proofErr w:type="spellStart"/>
      <w:r w:rsidR="002B3D2D" w:rsidRPr="00A47AFB">
        <w:rPr>
          <w:lang w:val="en-GB"/>
        </w:rPr>
        <w:t>refoulement</w:t>
      </w:r>
      <w:proofErr w:type="spellEnd"/>
      <w:r w:rsidRPr="00A47AFB">
        <w:rPr>
          <w:rStyle w:val="FootnoteReference"/>
          <w:lang w:val="en-GB"/>
        </w:rPr>
        <w:footnoteReference w:id="68"/>
      </w:r>
      <w:r w:rsidRPr="00A47AFB">
        <w:rPr>
          <w:lang w:val="en-GB"/>
        </w:rPr>
        <w:t xml:space="preserve">. </w:t>
      </w:r>
    </w:p>
    <w:p w14:paraId="2764E189" w14:textId="77777777" w:rsidR="00F87BA1" w:rsidRPr="00A47AFB" w:rsidRDefault="00F87BA1" w:rsidP="00A47AFB">
      <w:pPr>
        <w:rPr>
          <w:b/>
          <w:u w:val="single"/>
          <w:lang w:val="en-GB"/>
        </w:rPr>
      </w:pPr>
      <w:r w:rsidRPr="00A47AFB">
        <w:rPr>
          <w:b/>
          <w:u w:val="single"/>
          <w:lang w:val="en-GB"/>
        </w:rPr>
        <w:t>European Framework</w:t>
      </w:r>
    </w:p>
    <w:p w14:paraId="642D1EC2" w14:textId="0253D706" w:rsidR="00F87BA1" w:rsidRPr="00A47AFB" w:rsidRDefault="00F87BA1" w:rsidP="00990FF7">
      <w:pPr>
        <w:spacing w:after="240" w:line="360" w:lineRule="auto"/>
        <w:ind w:firstLine="360"/>
        <w:jc w:val="both"/>
        <w:rPr>
          <w:lang w:val="en-GB"/>
        </w:rPr>
      </w:pPr>
      <w:r w:rsidRPr="00A47AFB">
        <w:rPr>
          <w:lang w:val="en-GB"/>
        </w:rPr>
        <w:t>The ECtHR reaffirms the necessity of interpreting non-</w:t>
      </w:r>
      <w:proofErr w:type="spellStart"/>
      <w:r w:rsidRPr="00A47AFB">
        <w:rPr>
          <w:lang w:val="en-GB"/>
        </w:rPr>
        <w:t>refoulement</w:t>
      </w:r>
      <w:proofErr w:type="spellEnd"/>
      <w:r w:rsidRPr="00A47AFB">
        <w:rPr>
          <w:lang w:val="en-GB"/>
        </w:rPr>
        <w:t xml:space="preserve"> in such a way that ensures its validity in changing social, economic and political conditions, while not asserting new rights that have not been accepted by the parties</w:t>
      </w:r>
      <w:r w:rsidRPr="00A47AFB">
        <w:rPr>
          <w:rStyle w:val="FootnoteReference"/>
          <w:lang w:val="en-GB"/>
        </w:rPr>
        <w:footnoteReference w:id="69"/>
      </w:r>
      <w:r w:rsidRPr="00A47AFB">
        <w:rPr>
          <w:lang w:val="en-GB"/>
        </w:rPr>
        <w:t xml:space="preserve">. The ECtHR interpreted the </w:t>
      </w:r>
      <w:proofErr w:type="spellStart"/>
      <w:r w:rsidRPr="00A47AFB">
        <w:rPr>
          <w:i/>
          <w:lang w:val="en-GB"/>
        </w:rPr>
        <w:t>ratione</w:t>
      </w:r>
      <w:proofErr w:type="spellEnd"/>
      <w:r w:rsidRPr="00A47AFB">
        <w:rPr>
          <w:i/>
          <w:lang w:val="en-GB"/>
        </w:rPr>
        <w:t xml:space="preserve"> loci</w:t>
      </w:r>
      <w:r w:rsidRPr="00A47AFB">
        <w:rPr>
          <w:lang w:val="en-GB"/>
        </w:rPr>
        <w:t xml:space="preserve"> of non-</w:t>
      </w:r>
      <w:proofErr w:type="spellStart"/>
      <w:r w:rsidRPr="00A47AFB">
        <w:rPr>
          <w:lang w:val="en-GB"/>
        </w:rPr>
        <w:t>refoulement</w:t>
      </w:r>
      <w:proofErr w:type="spellEnd"/>
      <w:r w:rsidRPr="00A47AFB">
        <w:rPr>
          <w:lang w:val="en-GB"/>
        </w:rPr>
        <w:t xml:space="preserve"> under</w:t>
      </w:r>
      <w:r w:rsidR="007F3ADE" w:rsidRPr="00A47AFB">
        <w:rPr>
          <w:lang w:val="en-GB"/>
        </w:rPr>
        <w:t xml:space="preserve"> Art.3</w:t>
      </w:r>
      <w:r w:rsidRPr="00A47AFB">
        <w:rPr>
          <w:lang w:val="en-GB"/>
        </w:rPr>
        <w:t xml:space="preserve">ECHR to include “chain </w:t>
      </w:r>
      <w:proofErr w:type="spellStart"/>
      <w:r w:rsidRPr="00A47AFB">
        <w:rPr>
          <w:lang w:val="en-GB"/>
        </w:rPr>
        <w:t>refoulement</w:t>
      </w:r>
      <w:proofErr w:type="spellEnd"/>
      <w:r w:rsidRPr="00A47AFB">
        <w:rPr>
          <w:lang w:val="en-GB"/>
        </w:rPr>
        <w:t xml:space="preserve">” in </w:t>
      </w:r>
      <w:r w:rsidRPr="00A47AFB">
        <w:rPr>
          <w:i/>
          <w:lang w:val="en-GB"/>
        </w:rPr>
        <w:t>TI v. United Kingdom</w:t>
      </w:r>
      <w:bookmarkStart w:id="25" w:name="_Ref479456475"/>
      <w:r w:rsidR="008F6685" w:rsidRPr="00A47AFB">
        <w:rPr>
          <w:rStyle w:val="FootnoteReference"/>
          <w:i/>
          <w:lang w:val="en-GB"/>
        </w:rPr>
        <w:footnoteReference w:id="70"/>
      </w:r>
      <w:bookmarkEnd w:id="25"/>
      <w:r w:rsidRPr="00A47AFB">
        <w:rPr>
          <w:i/>
          <w:lang w:val="en-GB"/>
        </w:rPr>
        <w:t>.</w:t>
      </w:r>
      <w:r w:rsidRPr="00A47AFB">
        <w:rPr>
          <w:lang w:val="en-GB"/>
        </w:rPr>
        <w:t xml:space="preserve"> This case concerned a Sri Lankan asylum seeker, who the UK sought to remove to Germany under the Dublin Regulation.</w:t>
      </w:r>
      <w:r w:rsidR="00990FF7">
        <w:rPr>
          <w:lang w:val="en-GB"/>
        </w:rPr>
        <w:t xml:space="preserve"> From these he risked onward </w:t>
      </w:r>
      <w:proofErr w:type="spellStart"/>
      <w:r w:rsidR="00990FF7">
        <w:rPr>
          <w:lang w:val="en-GB"/>
        </w:rPr>
        <w:t>refoulement</w:t>
      </w:r>
      <w:proofErr w:type="spellEnd"/>
      <w:r w:rsidR="00990FF7">
        <w:rPr>
          <w:lang w:val="en-GB"/>
        </w:rPr>
        <w:t>, as Germany had officially sought to deport him</w:t>
      </w:r>
      <w:r w:rsidRPr="00A47AFB">
        <w:rPr>
          <w:lang w:val="en-GB"/>
        </w:rPr>
        <w:t xml:space="preserve">. The ECtHR contended that the Sending State had a duty to protect the applicant from onward expulsion to an STC or </w:t>
      </w:r>
      <w:r w:rsidR="00AC7B70" w:rsidRPr="00A47AFB">
        <w:rPr>
          <w:lang w:val="en-GB"/>
        </w:rPr>
        <w:t>CO</w:t>
      </w:r>
      <w:r w:rsidRPr="00A47AFB">
        <w:rPr>
          <w:lang w:val="en-GB"/>
        </w:rPr>
        <w:t xml:space="preserve"> where he ri</w:t>
      </w:r>
      <w:r w:rsidR="007F3ADE" w:rsidRPr="00A47AFB">
        <w:rPr>
          <w:lang w:val="en-GB"/>
        </w:rPr>
        <w:t>sks treatment contrary to Art.3</w:t>
      </w:r>
      <w:r w:rsidRPr="00A47AFB">
        <w:rPr>
          <w:lang w:val="en-GB"/>
        </w:rPr>
        <w:t>ECHR</w:t>
      </w:r>
      <w:r w:rsidRPr="00A47AFB">
        <w:rPr>
          <w:rStyle w:val="FootnoteReference"/>
          <w:lang w:val="en-GB"/>
        </w:rPr>
        <w:footnoteReference w:id="71"/>
      </w:r>
      <w:r w:rsidRPr="00A47AFB">
        <w:rPr>
          <w:lang w:val="en-GB"/>
        </w:rPr>
        <w:t xml:space="preserve">. </w:t>
      </w:r>
      <w:r w:rsidR="00127B75" w:rsidRPr="00A47AFB">
        <w:rPr>
          <w:lang w:val="en-GB"/>
        </w:rPr>
        <w:t>In effect, non-</w:t>
      </w:r>
      <w:proofErr w:type="spellStart"/>
      <w:r w:rsidR="00127B75" w:rsidRPr="00A47AFB">
        <w:rPr>
          <w:lang w:val="en-GB"/>
        </w:rPr>
        <w:t>refoulement’s</w:t>
      </w:r>
      <w:proofErr w:type="spellEnd"/>
      <w:r w:rsidR="00127B75" w:rsidRPr="00A47AFB">
        <w:rPr>
          <w:lang w:val="en-GB"/>
        </w:rPr>
        <w:t xml:space="preserve"> application was extrapolated to hold the Sending State accountable for violations conducted </w:t>
      </w:r>
      <w:r w:rsidRPr="00A47AFB">
        <w:rPr>
          <w:lang w:val="en-GB"/>
        </w:rPr>
        <w:t xml:space="preserve">in the intermediate country’s jurisdiction (“chain </w:t>
      </w:r>
      <w:proofErr w:type="spellStart"/>
      <w:r w:rsidRPr="00A47AFB">
        <w:rPr>
          <w:lang w:val="en-GB"/>
        </w:rPr>
        <w:t>refoulement</w:t>
      </w:r>
      <w:proofErr w:type="spellEnd"/>
      <w:r w:rsidRPr="00A47AFB">
        <w:rPr>
          <w:lang w:val="en-GB"/>
        </w:rPr>
        <w:t>”), notwithstanding that country being a Contracting Party to the ECHR</w:t>
      </w:r>
      <w:r w:rsidRPr="00A47AFB">
        <w:rPr>
          <w:rStyle w:val="FootnoteReference"/>
          <w:lang w:val="en-GB"/>
        </w:rPr>
        <w:footnoteReference w:id="72"/>
      </w:r>
      <w:r w:rsidRPr="00A47AFB">
        <w:rPr>
          <w:lang w:val="en-GB"/>
        </w:rPr>
        <w:t xml:space="preserve">. In </w:t>
      </w:r>
      <w:r w:rsidRPr="00A47AFB">
        <w:rPr>
          <w:i/>
          <w:lang w:val="en-GB"/>
        </w:rPr>
        <w:t>M.S.S. v. Belgium and Greece</w:t>
      </w:r>
      <w:r w:rsidRPr="00A47AFB">
        <w:rPr>
          <w:lang w:val="en-GB"/>
        </w:rPr>
        <w:t>, Belgium was held responsible for derogations to Art.3 conducted by Greece to readmitted asylum seekers from Belgium. The Court also argued that the Sending State could not use blind trust in the STC concept to absolve it from responsibility for violations</w:t>
      </w:r>
      <w:r w:rsidR="002B3D2D" w:rsidRPr="00A47AFB">
        <w:rPr>
          <w:lang w:val="en-GB"/>
        </w:rPr>
        <w:t xml:space="preserve"> and established an additional duty on contracting parties to rigorously examine the risk of “onward expulsion”, regardless of being classified as an STC</w:t>
      </w:r>
      <w:bookmarkStart w:id="26" w:name="_Ref479520902"/>
      <w:r w:rsidR="002B3D2D" w:rsidRPr="00A47AFB">
        <w:rPr>
          <w:rStyle w:val="FootnoteReference"/>
          <w:lang w:val="en-GB"/>
        </w:rPr>
        <w:footnoteReference w:id="73"/>
      </w:r>
      <w:bookmarkEnd w:id="26"/>
      <w:r w:rsidR="002B3D2D" w:rsidRPr="00A47AFB">
        <w:rPr>
          <w:lang w:val="en-GB"/>
        </w:rPr>
        <w:t>.</w:t>
      </w:r>
      <w:r w:rsidRPr="00A47AFB">
        <w:rPr>
          <w:lang w:val="en-GB"/>
        </w:rPr>
        <w:t xml:space="preserve"> </w:t>
      </w:r>
    </w:p>
    <w:p w14:paraId="7164A4E2" w14:textId="653991C9" w:rsidR="00AF6191" w:rsidRPr="00A47AFB" w:rsidRDefault="00590BBE" w:rsidP="00A47AFB">
      <w:pPr>
        <w:spacing w:after="240" w:line="360" w:lineRule="auto"/>
        <w:ind w:firstLine="720"/>
        <w:jc w:val="both"/>
        <w:rPr>
          <w:lang w:val="en-GB"/>
        </w:rPr>
      </w:pPr>
      <w:r w:rsidRPr="00A47AFB">
        <w:rPr>
          <w:lang w:val="en-GB"/>
        </w:rPr>
        <w:lastRenderedPageBreak/>
        <w:t>The EU-</w:t>
      </w:r>
      <w:r w:rsidR="00F87BA1" w:rsidRPr="00A47AFB">
        <w:rPr>
          <w:lang w:val="en-GB"/>
        </w:rPr>
        <w:t>STC practices– as provided in the APD</w:t>
      </w:r>
      <w:r w:rsidR="00127B75" w:rsidRPr="00A47AFB">
        <w:rPr>
          <w:lang w:val="en-GB"/>
        </w:rPr>
        <w:t xml:space="preserve"> </w:t>
      </w:r>
      <w:r w:rsidR="00F87BA1" w:rsidRPr="00A47AFB">
        <w:rPr>
          <w:lang w:val="en-GB"/>
        </w:rPr>
        <w:t xml:space="preserve">- may amount to </w:t>
      </w:r>
      <w:proofErr w:type="spellStart"/>
      <w:r w:rsidR="00F87BA1" w:rsidRPr="00A47AFB">
        <w:rPr>
          <w:lang w:val="en-GB"/>
        </w:rPr>
        <w:t>refoulement</w:t>
      </w:r>
      <w:proofErr w:type="spellEnd"/>
      <w:r w:rsidR="00F87BA1" w:rsidRPr="00A47AFB">
        <w:rPr>
          <w:lang w:val="en-GB"/>
        </w:rPr>
        <w:t xml:space="preserve">, since the APD lacks explicit substantive and procedural rules to preclude “chain </w:t>
      </w:r>
      <w:proofErr w:type="spellStart"/>
      <w:r w:rsidR="00F87BA1" w:rsidRPr="00A47AFB">
        <w:rPr>
          <w:lang w:val="en-GB"/>
        </w:rPr>
        <w:t>refoulement</w:t>
      </w:r>
      <w:proofErr w:type="spellEnd"/>
      <w:r w:rsidR="00F87BA1" w:rsidRPr="00A47AFB">
        <w:rPr>
          <w:lang w:val="en-GB"/>
        </w:rPr>
        <w:t>”</w:t>
      </w:r>
      <w:r w:rsidR="00F87BA1" w:rsidRPr="00A47AFB">
        <w:rPr>
          <w:rStyle w:val="FootnoteReference"/>
          <w:lang w:val="en-GB"/>
        </w:rPr>
        <w:footnoteReference w:id="74"/>
      </w:r>
      <w:r w:rsidR="00F87BA1" w:rsidRPr="00A47AFB">
        <w:rPr>
          <w:lang w:val="en-GB"/>
        </w:rPr>
        <w:t xml:space="preserve">. This is </w:t>
      </w:r>
      <w:r w:rsidRPr="00A47AFB">
        <w:rPr>
          <w:lang w:val="en-GB"/>
        </w:rPr>
        <w:t xml:space="preserve">also </w:t>
      </w:r>
      <w:r w:rsidR="00F87BA1" w:rsidRPr="00A47AFB">
        <w:rPr>
          <w:lang w:val="en-GB"/>
        </w:rPr>
        <w:t>evident in the EU-Turkey Statement analysed next.</w:t>
      </w:r>
    </w:p>
    <w:p w14:paraId="0BCB9525" w14:textId="77777777" w:rsidR="00F87BA1" w:rsidRPr="00A47AFB" w:rsidRDefault="00F87BA1" w:rsidP="00F87BA1">
      <w:pPr>
        <w:spacing w:line="360" w:lineRule="auto"/>
        <w:jc w:val="both"/>
        <w:rPr>
          <w:b/>
          <w:u w:val="single"/>
          <w:lang w:val="en-GB"/>
        </w:rPr>
      </w:pPr>
      <w:r w:rsidRPr="00A47AFB">
        <w:rPr>
          <w:b/>
          <w:u w:val="single"/>
          <w:lang w:val="en-GB"/>
        </w:rPr>
        <w:t>EU-Turkey Deal</w:t>
      </w:r>
    </w:p>
    <w:p w14:paraId="1C25550E" w14:textId="3ABCDBCB" w:rsidR="00F87BA1" w:rsidRPr="00A47AFB" w:rsidRDefault="00F87BA1" w:rsidP="00127B75">
      <w:pPr>
        <w:spacing w:after="240" w:line="360" w:lineRule="auto"/>
        <w:ind w:firstLine="720"/>
        <w:jc w:val="both"/>
        <w:rPr>
          <w:lang w:val="en-GB"/>
        </w:rPr>
      </w:pPr>
      <w:r w:rsidRPr="00A47AFB">
        <w:rPr>
          <w:lang w:val="en-GB"/>
        </w:rPr>
        <w:t>On March 18, 2016, the EU and Turkey agreed on a Joint Action Plan, the EU-Turkey Statement, to prevent irregular departures from Turkey and expedite the processin</w:t>
      </w:r>
      <w:r w:rsidR="006851BA" w:rsidRPr="00A47AFB">
        <w:rPr>
          <w:lang w:val="en-GB"/>
        </w:rPr>
        <w:t>g of protection claims</w:t>
      </w:r>
      <w:r w:rsidR="006851BA" w:rsidRPr="00A47AFB">
        <w:rPr>
          <w:rStyle w:val="FootnoteReference"/>
          <w:lang w:val="en-GB"/>
        </w:rPr>
        <w:footnoteReference w:id="75"/>
      </w:r>
      <w:r w:rsidR="006851BA" w:rsidRPr="00A47AFB">
        <w:rPr>
          <w:lang w:val="en-GB"/>
        </w:rPr>
        <w:t>. The Statement</w:t>
      </w:r>
      <w:r w:rsidRPr="00A47AFB">
        <w:rPr>
          <w:lang w:val="en-GB"/>
        </w:rPr>
        <w:t xml:space="preserve"> complements the EU-Turkey readmission agreement signed in 2014 as it removes the three-year-waiting-period for non-Turkish nationals awaiting readmission</w:t>
      </w:r>
      <w:r w:rsidR="00FE7974" w:rsidRPr="00A47AFB">
        <w:rPr>
          <w:rStyle w:val="FootnoteReference"/>
          <w:lang w:val="en-GB"/>
        </w:rPr>
        <w:footnoteReference w:id="76"/>
      </w:r>
      <w:r w:rsidRPr="00A47AFB">
        <w:rPr>
          <w:lang w:val="en-GB"/>
        </w:rPr>
        <w:t xml:space="preserve">. Although the Joint Action Plan constitutes a Statement rather than a readmission agreement – with </w:t>
      </w:r>
      <w:r w:rsidR="00590BBE" w:rsidRPr="00A47AFB">
        <w:rPr>
          <w:lang w:val="en-GB"/>
        </w:rPr>
        <w:t xml:space="preserve">a </w:t>
      </w:r>
      <w:r w:rsidRPr="00A47AFB">
        <w:rPr>
          <w:lang w:val="en-GB"/>
        </w:rPr>
        <w:t>dubious legal character, it holds legal authority to facilitate readmissions</w:t>
      </w:r>
      <w:bookmarkStart w:id="27" w:name="_Ref478942436"/>
      <w:r w:rsidRPr="00A47AFB">
        <w:rPr>
          <w:rStyle w:val="FootnoteReference"/>
          <w:lang w:val="en-GB"/>
        </w:rPr>
        <w:footnoteReference w:id="77"/>
      </w:r>
      <w:bookmarkEnd w:id="27"/>
      <w:r w:rsidRPr="00A47AFB">
        <w:rPr>
          <w:lang w:val="en-GB"/>
        </w:rPr>
        <w:t xml:space="preserve">. The Statement should be read with the </w:t>
      </w:r>
      <w:r w:rsidR="00127B75" w:rsidRPr="00A47AFB">
        <w:rPr>
          <w:lang w:val="en-GB"/>
        </w:rPr>
        <w:t>EC</w:t>
      </w:r>
      <w:r w:rsidR="00590BBE" w:rsidRPr="00A47AFB">
        <w:rPr>
          <w:lang w:val="en-GB"/>
        </w:rPr>
        <w:t>-</w:t>
      </w:r>
      <w:r w:rsidRPr="00A47AFB">
        <w:rPr>
          <w:lang w:val="en-GB"/>
        </w:rPr>
        <w:t>Communication, declaring Turkey an STC, which, pursuant to Art.33(2)(c)APD</w:t>
      </w:r>
      <w:r w:rsidR="00FE7974" w:rsidRPr="00A47AFB">
        <w:rPr>
          <w:rStyle w:val="FootnoteReference"/>
          <w:lang w:val="en-GB"/>
        </w:rPr>
        <w:footnoteReference w:id="78"/>
      </w:r>
      <w:r w:rsidRPr="00A47AFB">
        <w:rPr>
          <w:lang w:val="en-GB"/>
        </w:rPr>
        <w:t xml:space="preserve">, enables Greece to declare protection claims inadmissible on </w:t>
      </w:r>
      <w:r w:rsidR="00127B75" w:rsidRPr="00A47AFB">
        <w:rPr>
          <w:lang w:val="en-GB"/>
        </w:rPr>
        <w:t xml:space="preserve">the procedural </w:t>
      </w:r>
      <w:r w:rsidRPr="00A47AFB">
        <w:rPr>
          <w:lang w:val="en-GB"/>
        </w:rPr>
        <w:t>ground that the migrant could have its status determined in Turkey</w:t>
      </w:r>
      <w:r w:rsidRPr="00A47AFB">
        <w:rPr>
          <w:rStyle w:val="FootnoteReference"/>
          <w:lang w:val="en-GB"/>
        </w:rPr>
        <w:footnoteReference w:id="79"/>
      </w:r>
      <w:r w:rsidRPr="00A47AFB">
        <w:rPr>
          <w:lang w:val="en-GB"/>
        </w:rPr>
        <w:t xml:space="preserve">. </w:t>
      </w:r>
    </w:p>
    <w:p w14:paraId="0FA0602E" w14:textId="1FEC7EF9" w:rsidR="002B3D2D" w:rsidRPr="00A47AFB" w:rsidRDefault="00F87BA1" w:rsidP="00AB6F7D">
      <w:pPr>
        <w:spacing w:line="360" w:lineRule="auto"/>
        <w:ind w:firstLine="720"/>
        <w:jc w:val="both"/>
        <w:rPr>
          <w:lang w:val="en-GB"/>
        </w:rPr>
      </w:pPr>
      <w:r w:rsidRPr="00A47AFB">
        <w:rPr>
          <w:lang w:val="en-GB"/>
        </w:rPr>
        <w:t xml:space="preserve">The Statement is devoid of provisions requiring individual examination of risks of “chain </w:t>
      </w:r>
      <w:proofErr w:type="spellStart"/>
      <w:r w:rsidRPr="00A47AFB">
        <w:rPr>
          <w:lang w:val="en-GB"/>
        </w:rPr>
        <w:t>refoulement</w:t>
      </w:r>
      <w:proofErr w:type="spellEnd"/>
      <w:r w:rsidRPr="00A47AFB">
        <w:rPr>
          <w:lang w:val="en-GB"/>
        </w:rPr>
        <w:t>” and</w:t>
      </w:r>
      <w:r w:rsidR="00590BBE" w:rsidRPr="00A47AFB">
        <w:rPr>
          <w:lang w:val="en-GB"/>
        </w:rPr>
        <w:t xml:space="preserve"> instead</w:t>
      </w:r>
      <w:r w:rsidRPr="00A47AFB">
        <w:rPr>
          <w:lang w:val="en-GB"/>
        </w:rPr>
        <w:t xml:space="preserve"> promotes blind trust i</w:t>
      </w:r>
      <w:r w:rsidR="00FF0DB0">
        <w:rPr>
          <w:lang w:val="en-GB"/>
        </w:rPr>
        <w:t>n the EU-STC practices. These</w:t>
      </w:r>
      <w:r w:rsidRPr="00A47AFB">
        <w:rPr>
          <w:lang w:val="en-GB"/>
        </w:rPr>
        <w:t xml:space="preserve"> not only contradict the substantive and procedural rules of non-</w:t>
      </w:r>
      <w:proofErr w:type="spellStart"/>
      <w:r w:rsidRPr="00A47AFB">
        <w:rPr>
          <w:lang w:val="en-GB"/>
        </w:rPr>
        <w:t>refoulement</w:t>
      </w:r>
      <w:proofErr w:type="spellEnd"/>
      <w:r w:rsidRPr="00A47AFB">
        <w:rPr>
          <w:lang w:val="en-GB"/>
        </w:rPr>
        <w:t xml:space="preserve"> laid out by the UNHCR an</w:t>
      </w:r>
      <w:r w:rsidR="00CC2504" w:rsidRPr="00A47AFB">
        <w:rPr>
          <w:lang w:val="en-GB"/>
        </w:rPr>
        <w:t>d ECtHR jurisprudence, but,</w:t>
      </w:r>
      <w:r w:rsidRPr="00A47AFB">
        <w:rPr>
          <w:lang w:val="en-GB"/>
        </w:rPr>
        <w:t xml:space="preserve"> importantly, assumes Turkey as “safe” against facts on the ground. Turkey imposed geographical limitations when ratifying the </w:t>
      </w:r>
      <w:bookmarkStart w:id="28" w:name="_Ref479034552"/>
      <w:r w:rsidR="00AB6F7D" w:rsidRPr="00A47AFB">
        <w:rPr>
          <w:lang w:val="en-GB"/>
        </w:rPr>
        <w:t xml:space="preserve">RC </w:t>
      </w:r>
      <w:r w:rsidRPr="00A47AFB">
        <w:rPr>
          <w:lang w:val="en-GB"/>
        </w:rPr>
        <w:t>that prevents non-Europeans from becoming fully</w:t>
      </w:r>
      <w:r w:rsidR="007F3ADE" w:rsidRPr="00A47AFB">
        <w:rPr>
          <w:lang w:val="en-GB"/>
        </w:rPr>
        <w:t xml:space="preserve"> recognised as refugees with</w:t>
      </w:r>
      <w:r w:rsidRPr="00A47AFB">
        <w:rPr>
          <w:lang w:val="en-GB"/>
        </w:rPr>
        <w:t xml:space="preserve"> </w:t>
      </w:r>
      <w:r w:rsidR="00AB6F7D" w:rsidRPr="00A47AFB">
        <w:rPr>
          <w:lang w:val="en-GB"/>
        </w:rPr>
        <w:t>RC</w:t>
      </w:r>
      <w:r w:rsidR="007F3ADE" w:rsidRPr="00A47AFB">
        <w:rPr>
          <w:lang w:val="en-GB"/>
        </w:rPr>
        <w:t xml:space="preserve"> non-</w:t>
      </w:r>
      <w:proofErr w:type="spellStart"/>
      <w:r w:rsidR="007F3ADE" w:rsidRPr="00A47AFB">
        <w:rPr>
          <w:lang w:val="en-GB"/>
        </w:rPr>
        <w:t>refoulement</w:t>
      </w:r>
      <w:proofErr w:type="spellEnd"/>
      <w:r w:rsidR="00AB6F7D" w:rsidRPr="00A47AFB">
        <w:rPr>
          <w:lang w:val="en-GB"/>
        </w:rPr>
        <w:t xml:space="preserve"> </w:t>
      </w:r>
      <w:r w:rsidRPr="00A47AFB">
        <w:rPr>
          <w:lang w:val="en-GB"/>
        </w:rPr>
        <w:t>protection</w:t>
      </w:r>
      <w:r w:rsidRPr="00A47AFB">
        <w:rPr>
          <w:rStyle w:val="FootnoteReference"/>
          <w:lang w:val="en-GB"/>
        </w:rPr>
        <w:footnoteReference w:id="80"/>
      </w:r>
      <w:bookmarkEnd w:id="28"/>
      <w:r w:rsidRPr="00A47AFB">
        <w:rPr>
          <w:lang w:val="en-GB"/>
        </w:rPr>
        <w:t xml:space="preserve">. Refugee status that are offered are conditional and short-term, placing refugees at constant risk of </w:t>
      </w:r>
      <w:proofErr w:type="spellStart"/>
      <w:r w:rsidRPr="00A47AFB">
        <w:rPr>
          <w:lang w:val="en-GB"/>
        </w:rPr>
        <w:t>refoulement</w:t>
      </w:r>
      <w:proofErr w:type="spellEnd"/>
      <w:r w:rsidRPr="00A47AFB">
        <w:rPr>
          <w:rStyle w:val="FootnoteReference"/>
          <w:lang w:val="en-GB"/>
        </w:rPr>
        <w:footnoteReference w:id="81"/>
      </w:r>
      <w:r w:rsidRPr="00A47AFB">
        <w:rPr>
          <w:lang w:val="en-GB"/>
        </w:rPr>
        <w:t>. Human Rights Watch reported Turkey to have refouled, through push</w:t>
      </w:r>
      <w:r w:rsidR="007F3ADE" w:rsidRPr="00A47AFB">
        <w:rPr>
          <w:lang w:val="en-GB"/>
        </w:rPr>
        <w:t>-</w:t>
      </w:r>
      <w:r w:rsidRPr="00A47AFB">
        <w:rPr>
          <w:lang w:val="en-GB"/>
        </w:rPr>
        <w:t>backs and forced repatriation, several thousands of Syrians</w:t>
      </w:r>
      <w:bookmarkStart w:id="29" w:name="_Ref479458206"/>
      <w:r w:rsidRPr="00A47AFB">
        <w:rPr>
          <w:rStyle w:val="FootnoteReference"/>
          <w:lang w:val="en-GB"/>
        </w:rPr>
        <w:footnoteReference w:id="82"/>
      </w:r>
      <w:bookmarkEnd w:id="29"/>
      <w:r w:rsidR="00CC2504" w:rsidRPr="00A47AFB">
        <w:rPr>
          <w:lang w:val="en-GB"/>
        </w:rPr>
        <w:t xml:space="preserve">. </w:t>
      </w:r>
      <w:r w:rsidRPr="00A47AFB">
        <w:rPr>
          <w:lang w:val="en-GB"/>
        </w:rPr>
        <w:t xml:space="preserve">Amnesty International recorded </w:t>
      </w:r>
      <w:r w:rsidR="00590BBE" w:rsidRPr="00A47AFB">
        <w:rPr>
          <w:lang w:val="en-GB"/>
        </w:rPr>
        <w:t xml:space="preserve">a hundred </w:t>
      </w:r>
      <w:r w:rsidR="00590BBE" w:rsidRPr="00A47AFB">
        <w:rPr>
          <w:lang w:val="en-GB"/>
        </w:rPr>
        <w:lastRenderedPageBreak/>
        <w:t>Syrians being rounded-</w:t>
      </w:r>
      <w:r w:rsidRPr="00A47AFB">
        <w:rPr>
          <w:lang w:val="en-GB"/>
        </w:rPr>
        <w:t>up and expelled on almost a daily basis since mid-January 2016</w:t>
      </w:r>
      <w:bookmarkStart w:id="30" w:name="_Ref479464506"/>
      <w:r w:rsidRPr="00A47AFB">
        <w:rPr>
          <w:rStyle w:val="FootnoteReference"/>
          <w:lang w:val="en-GB"/>
        </w:rPr>
        <w:footnoteReference w:id="83"/>
      </w:r>
      <w:bookmarkEnd w:id="30"/>
      <w:r w:rsidRPr="00A47AFB">
        <w:rPr>
          <w:lang w:val="en-GB"/>
        </w:rPr>
        <w:t xml:space="preserve">. Although there has, as of now, not been a case of </w:t>
      </w:r>
      <w:proofErr w:type="spellStart"/>
      <w:r w:rsidRPr="00A47AFB">
        <w:rPr>
          <w:lang w:val="en-GB"/>
        </w:rPr>
        <w:t>refoulement</w:t>
      </w:r>
      <w:proofErr w:type="spellEnd"/>
      <w:r w:rsidRPr="00A47AFB">
        <w:rPr>
          <w:lang w:val="en-GB"/>
        </w:rPr>
        <w:t xml:space="preserve"> of readmitted</w:t>
      </w:r>
      <w:r w:rsidR="00AB6F7D" w:rsidRPr="00A47AFB">
        <w:rPr>
          <w:lang w:val="en-GB"/>
        </w:rPr>
        <w:t xml:space="preserve"> migrants from the EU, it is onl</w:t>
      </w:r>
      <w:r w:rsidRPr="00A47AFB">
        <w:rPr>
          <w:lang w:val="en-GB"/>
        </w:rPr>
        <w:t>y a matter of time</w:t>
      </w:r>
      <w:r w:rsidRPr="00A47AFB">
        <w:rPr>
          <w:rStyle w:val="FootnoteReference"/>
          <w:lang w:val="en-GB"/>
        </w:rPr>
        <w:footnoteReference w:id="84"/>
      </w:r>
      <w:r w:rsidRPr="00A47AFB">
        <w:rPr>
          <w:lang w:val="en-GB"/>
        </w:rPr>
        <w:t>. These reports showcase that the EU-Turkey deal</w:t>
      </w:r>
      <w:r w:rsidR="00AB6F7D" w:rsidRPr="00A47AFB">
        <w:rPr>
          <w:lang w:val="en-GB"/>
        </w:rPr>
        <w:t xml:space="preserve"> fails to protect</w:t>
      </w:r>
      <w:r w:rsidRPr="00A47AFB">
        <w:rPr>
          <w:lang w:val="en-GB"/>
        </w:rPr>
        <w:t xml:space="preserve"> readmitted asylum seekers from onward </w:t>
      </w:r>
      <w:proofErr w:type="spellStart"/>
      <w:r w:rsidRPr="00A47AFB">
        <w:rPr>
          <w:lang w:val="en-GB"/>
        </w:rPr>
        <w:t>refoulement</w:t>
      </w:r>
      <w:proofErr w:type="spellEnd"/>
      <w:r w:rsidRPr="00A47AFB">
        <w:rPr>
          <w:lang w:val="en-GB"/>
        </w:rPr>
        <w:t xml:space="preserve">. </w:t>
      </w:r>
      <w:r w:rsidR="00CC2504" w:rsidRPr="00A47AFB">
        <w:rPr>
          <w:lang w:val="en-GB"/>
        </w:rPr>
        <w:t>Turkey’s</w:t>
      </w:r>
      <w:r w:rsidR="00AB6F7D" w:rsidRPr="00A47AFB">
        <w:rPr>
          <w:lang w:val="en-GB"/>
        </w:rPr>
        <w:t xml:space="preserve"> disregard for </w:t>
      </w:r>
      <w:r w:rsidRPr="00A47AFB">
        <w:rPr>
          <w:lang w:val="en-GB"/>
        </w:rPr>
        <w:t>protectio</w:t>
      </w:r>
      <w:r w:rsidR="00CC2504" w:rsidRPr="00A47AFB">
        <w:rPr>
          <w:lang w:val="en-GB"/>
        </w:rPr>
        <w:t xml:space="preserve">ns against “chain </w:t>
      </w:r>
      <w:proofErr w:type="spellStart"/>
      <w:r w:rsidR="00CC2504" w:rsidRPr="00A47AFB">
        <w:rPr>
          <w:lang w:val="en-GB"/>
        </w:rPr>
        <w:t>refoulement</w:t>
      </w:r>
      <w:proofErr w:type="spellEnd"/>
      <w:r w:rsidR="00CC2504" w:rsidRPr="00A47AFB">
        <w:rPr>
          <w:lang w:val="en-GB"/>
        </w:rPr>
        <w:t>”</w:t>
      </w:r>
      <w:r w:rsidRPr="00A47AFB">
        <w:rPr>
          <w:lang w:val="en-GB"/>
        </w:rPr>
        <w:t xml:space="preserve"> </w:t>
      </w:r>
      <w:r w:rsidR="00AB6F7D" w:rsidRPr="00A47AFB">
        <w:rPr>
          <w:lang w:val="en-GB"/>
        </w:rPr>
        <w:t xml:space="preserve">underscores </w:t>
      </w:r>
      <w:r w:rsidRPr="00A47AFB">
        <w:rPr>
          <w:lang w:val="en-GB"/>
        </w:rPr>
        <w:t>the incompatibilities between the EU’s readmission practices with third countries and both the International and European Framework on non-</w:t>
      </w:r>
      <w:proofErr w:type="spellStart"/>
      <w:r w:rsidRPr="00A47AFB">
        <w:rPr>
          <w:lang w:val="en-GB"/>
        </w:rPr>
        <w:t>refoulement</w:t>
      </w:r>
      <w:proofErr w:type="spellEnd"/>
      <w:r w:rsidRPr="00A47AFB">
        <w:rPr>
          <w:lang w:val="en-GB"/>
        </w:rPr>
        <w:t>.</w:t>
      </w:r>
    </w:p>
    <w:p w14:paraId="792FA09B" w14:textId="4946E680" w:rsidR="002B3D2D" w:rsidRPr="00A47AFB" w:rsidRDefault="00A47AFB" w:rsidP="00A47AFB">
      <w:pPr>
        <w:pStyle w:val="Heading1"/>
        <w:rPr>
          <w:b/>
          <w:color w:val="auto"/>
        </w:rPr>
      </w:pPr>
      <w:r w:rsidRPr="00A47AFB">
        <w:rPr>
          <w:b/>
          <w:color w:val="auto"/>
        </w:rPr>
        <w:t>III</w:t>
      </w:r>
      <w:r w:rsidR="002B3D2D" w:rsidRPr="00A47AFB">
        <w:rPr>
          <w:b/>
          <w:color w:val="auto"/>
        </w:rPr>
        <w:t>. Collective Expulsion</w:t>
      </w:r>
    </w:p>
    <w:p w14:paraId="05537D65" w14:textId="696D76DF" w:rsidR="002B3D2D" w:rsidRPr="00A47AFB" w:rsidRDefault="00B14CCB" w:rsidP="005B7CD7">
      <w:pPr>
        <w:spacing w:line="360" w:lineRule="auto"/>
        <w:ind w:firstLine="720"/>
        <w:jc w:val="both"/>
        <w:rPr>
          <w:lang w:val="en-GB"/>
        </w:rPr>
      </w:pPr>
      <w:r w:rsidRPr="00A47AFB">
        <w:rPr>
          <w:lang w:val="en-GB"/>
        </w:rPr>
        <w:t>C</w:t>
      </w:r>
      <w:r w:rsidR="002B3D2D" w:rsidRPr="00A47AFB">
        <w:rPr>
          <w:lang w:val="en-GB"/>
        </w:rPr>
        <w:t xml:space="preserve">ollective expulsion is explicitly prohibited under </w:t>
      </w:r>
      <w:r w:rsidR="00AB6F7D" w:rsidRPr="00A47AFB">
        <w:rPr>
          <w:lang w:val="en-GB"/>
        </w:rPr>
        <w:t>the RC(Art.33), the ECHR(</w:t>
      </w:r>
      <w:r w:rsidR="002B3D2D" w:rsidRPr="00A47AFB">
        <w:rPr>
          <w:lang w:val="en-GB"/>
        </w:rPr>
        <w:t>Art.3(1)</w:t>
      </w:r>
      <w:r w:rsidR="00AB6F7D" w:rsidRPr="00A47AFB">
        <w:rPr>
          <w:lang w:val="en-GB"/>
        </w:rPr>
        <w:t>)</w:t>
      </w:r>
      <w:r w:rsidR="002B3D2D" w:rsidRPr="00A47AFB">
        <w:rPr>
          <w:lang w:val="en-GB"/>
        </w:rPr>
        <w:t>,</w:t>
      </w:r>
      <w:r w:rsidR="00AB6F7D" w:rsidRPr="00A47AFB">
        <w:rPr>
          <w:lang w:val="en-GB"/>
        </w:rPr>
        <w:t xml:space="preserve"> ECHR</w:t>
      </w:r>
      <w:r w:rsidR="007F3ADE" w:rsidRPr="00A47AFB">
        <w:rPr>
          <w:lang w:val="en-GB"/>
        </w:rPr>
        <w:t>-Protocol 4</w:t>
      </w:r>
      <w:r w:rsidR="002B3D2D" w:rsidRPr="00A47AFB">
        <w:rPr>
          <w:lang w:val="en-GB"/>
        </w:rPr>
        <w:t>(Art.</w:t>
      </w:r>
      <w:r w:rsidR="00AB6F7D" w:rsidRPr="00A47AFB">
        <w:rPr>
          <w:lang w:val="en-GB"/>
        </w:rPr>
        <w:t>4</w:t>
      </w:r>
      <w:r w:rsidR="007F3ADE" w:rsidRPr="00A47AFB">
        <w:rPr>
          <w:lang w:val="en-GB"/>
        </w:rPr>
        <w:t>), and The Charter</w:t>
      </w:r>
      <w:r w:rsidR="002B3D2D" w:rsidRPr="00A47AFB">
        <w:rPr>
          <w:lang w:val="en-GB"/>
        </w:rPr>
        <w:t>(Art.52(3) and Art.53)</w:t>
      </w:r>
      <w:r w:rsidR="0087039D" w:rsidRPr="00A47AFB">
        <w:rPr>
          <w:rStyle w:val="FootnoteReference"/>
          <w:lang w:val="en-GB"/>
        </w:rPr>
        <w:footnoteReference w:id="85"/>
      </w:r>
      <w:r w:rsidR="002B3D2D" w:rsidRPr="00A47AFB">
        <w:rPr>
          <w:lang w:val="en-GB"/>
        </w:rPr>
        <w:t xml:space="preserve">. Collective expulsion entails the forcible return of irregular </w:t>
      </w:r>
      <w:r w:rsidR="005B7CD7" w:rsidRPr="00A47AFB">
        <w:rPr>
          <w:lang w:val="en-GB"/>
        </w:rPr>
        <w:t>migrants, without due regard for their protection seeking status or</w:t>
      </w:r>
      <w:r w:rsidR="002B3D2D" w:rsidRPr="00A47AFB">
        <w:rPr>
          <w:lang w:val="en-GB"/>
        </w:rPr>
        <w:t xml:space="preserve"> their individual claims, which may lead to direct and indirect </w:t>
      </w:r>
      <w:proofErr w:type="spellStart"/>
      <w:r w:rsidR="002B3D2D" w:rsidRPr="00A47AFB">
        <w:rPr>
          <w:lang w:val="en-GB"/>
        </w:rPr>
        <w:t>refoulement</w:t>
      </w:r>
      <w:proofErr w:type="spellEnd"/>
      <w:r w:rsidRPr="00A47AFB">
        <w:rPr>
          <w:rStyle w:val="FootnoteReference"/>
          <w:lang w:val="en-GB"/>
        </w:rPr>
        <w:footnoteReference w:id="86"/>
      </w:r>
      <w:r w:rsidR="005B7CD7" w:rsidRPr="00A47AFB">
        <w:rPr>
          <w:lang w:val="en-GB"/>
        </w:rPr>
        <w:t xml:space="preserve">. </w:t>
      </w:r>
      <w:r w:rsidR="002B3D2D" w:rsidRPr="00A47AFB">
        <w:rPr>
          <w:lang w:val="en-GB"/>
        </w:rPr>
        <w:t>Despite the illegality of collective expulsion, it has occurred on several occasions, albeit outside the Sending States</w:t>
      </w:r>
      <w:r w:rsidR="00590BBE" w:rsidRPr="00A47AFB">
        <w:rPr>
          <w:lang w:val="en-GB"/>
        </w:rPr>
        <w:t>’</w:t>
      </w:r>
      <w:r w:rsidR="002B3D2D" w:rsidRPr="00A47AFB">
        <w:rPr>
          <w:lang w:val="en-GB"/>
        </w:rPr>
        <w:t xml:space="preserve"> territorial jurisdiction. Both International and European framework are unclear about the rules on extraterritorial collective expulsion</w:t>
      </w:r>
      <w:r w:rsidR="000A6E2C">
        <w:rPr>
          <w:rStyle w:val="FootnoteReference"/>
          <w:lang w:val="en-GB"/>
        </w:rPr>
        <w:footnoteReference w:id="87"/>
      </w:r>
      <w:r w:rsidR="002B3D2D" w:rsidRPr="00A47AFB">
        <w:rPr>
          <w:lang w:val="en-GB"/>
        </w:rPr>
        <w:t xml:space="preserve">. EU member-states have </w:t>
      </w:r>
      <w:r w:rsidR="005B7CD7" w:rsidRPr="00A47AFB">
        <w:rPr>
          <w:lang w:val="en-GB"/>
        </w:rPr>
        <w:t xml:space="preserve">reportedly </w:t>
      </w:r>
      <w:r w:rsidR="002B3D2D" w:rsidRPr="00A47AFB">
        <w:rPr>
          <w:lang w:val="en-GB"/>
        </w:rPr>
        <w:t>outsourced their migration contr</w:t>
      </w:r>
      <w:r w:rsidR="005B7CD7" w:rsidRPr="00A47AFB">
        <w:rPr>
          <w:lang w:val="en-GB"/>
        </w:rPr>
        <w:t xml:space="preserve">ol activities to border controls either in STCs or in international waters under </w:t>
      </w:r>
      <w:r w:rsidR="002B3D2D" w:rsidRPr="00A47AFB">
        <w:rPr>
          <w:lang w:val="en-GB"/>
        </w:rPr>
        <w:t>the premise that statutory safeguards for protection seekers allow for circumvention when the state operates outside its territory</w:t>
      </w:r>
      <w:r w:rsidR="002B3D2D" w:rsidRPr="00A47AFB">
        <w:rPr>
          <w:rStyle w:val="FootnoteReference"/>
          <w:lang w:val="en-GB"/>
        </w:rPr>
        <w:footnoteReference w:id="88"/>
      </w:r>
      <w:r w:rsidR="002B3D2D" w:rsidRPr="00A47AFB">
        <w:rPr>
          <w:lang w:val="en-GB"/>
        </w:rPr>
        <w:t>.</w:t>
      </w:r>
    </w:p>
    <w:p w14:paraId="6EFE44EF" w14:textId="49DB9245" w:rsidR="002B3D2D" w:rsidRPr="00A47AFB" w:rsidRDefault="002B3D2D" w:rsidP="00A250BF">
      <w:pPr>
        <w:spacing w:before="240" w:line="360" w:lineRule="auto"/>
        <w:jc w:val="both"/>
        <w:rPr>
          <w:b/>
          <w:lang w:val="en-GB"/>
        </w:rPr>
      </w:pPr>
      <w:r w:rsidRPr="00A47AFB">
        <w:rPr>
          <w:b/>
          <w:lang w:val="en-GB"/>
        </w:rPr>
        <w:t>International framework</w:t>
      </w:r>
    </w:p>
    <w:p w14:paraId="32AFA704" w14:textId="23CFF38C" w:rsidR="00AF6191" w:rsidRPr="00A47AFB" w:rsidRDefault="002B3D2D" w:rsidP="002B3D2D">
      <w:pPr>
        <w:spacing w:line="360" w:lineRule="auto"/>
        <w:jc w:val="both"/>
        <w:rPr>
          <w:lang w:val="en-GB"/>
        </w:rPr>
      </w:pPr>
      <w:r w:rsidRPr="00A47AFB">
        <w:rPr>
          <w:lang w:val="en-GB"/>
        </w:rPr>
        <w:t xml:space="preserve">The UNHCR attempted in its intervention by Goodwin-Gill’s, in the </w:t>
      </w:r>
      <w:r w:rsidRPr="00A47AFB">
        <w:rPr>
          <w:i/>
          <w:lang w:val="en-GB"/>
        </w:rPr>
        <w:t>Roma Rights</w:t>
      </w:r>
      <w:r w:rsidRPr="00A47AFB">
        <w:rPr>
          <w:lang w:val="en-GB"/>
        </w:rPr>
        <w:t xml:space="preserve"> case, to extend the applicability of non-</w:t>
      </w:r>
      <w:proofErr w:type="spellStart"/>
      <w:r w:rsidRPr="00A47AFB">
        <w:rPr>
          <w:lang w:val="en-GB"/>
        </w:rPr>
        <w:t>refoulement</w:t>
      </w:r>
      <w:proofErr w:type="spellEnd"/>
      <w:r w:rsidRPr="00A47AFB">
        <w:rPr>
          <w:lang w:val="en-GB"/>
        </w:rPr>
        <w:t xml:space="preserve"> extraterritorially. He emphasised legal duties in </w:t>
      </w:r>
      <w:r w:rsidRPr="00A47AFB">
        <w:rPr>
          <w:lang w:val="en-GB"/>
        </w:rPr>
        <w:lastRenderedPageBreak/>
        <w:t>good faith and the applicability of non-</w:t>
      </w:r>
      <w:proofErr w:type="spellStart"/>
      <w:r w:rsidRPr="00A47AFB">
        <w:rPr>
          <w:lang w:val="en-GB"/>
        </w:rPr>
        <w:t>refoulement</w:t>
      </w:r>
      <w:proofErr w:type="spellEnd"/>
      <w:r w:rsidRPr="00A47AFB">
        <w:rPr>
          <w:lang w:val="en-GB"/>
        </w:rPr>
        <w:t xml:space="preserve"> at the border</w:t>
      </w:r>
      <w:r w:rsidRPr="00A47AFB">
        <w:rPr>
          <w:rStyle w:val="FootnoteReference"/>
          <w:lang w:val="en-GB"/>
        </w:rPr>
        <w:footnoteReference w:id="89"/>
      </w:r>
      <w:r w:rsidRPr="00A47AFB">
        <w:rPr>
          <w:lang w:val="en-GB"/>
        </w:rPr>
        <w:t xml:space="preserve">. This interpretation was made, in conjunction with other human rights obligations, such as racial discrimination, that </w:t>
      </w:r>
      <w:r w:rsidR="0087039D" w:rsidRPr="00A47AFB">
        <w:rPr>
          <w:lang w:val="en-GB"/>
        </w:rPr>
        <w:t>prohibits</w:t>
      </w:r>
      <w:r w:rsidRPr="00A47AFB">
        <w:rPr>
          <w:lang w:val="en-GB"/>
        </w:rPr>
        <w:t xml:space="preserve"> contracting parties from collective expulsion of people based on shared identity characteristics (ethnic, origin, religion or nationality), both territorially and extraterritorially</w:t>
      </w:r>
      <w:bookmarkStart w:id="31" w:name="_Ref478922991"/>
      <w:r w:rsidRPr="00A47AFB">
        <w:rPr>
          <w:rStyle w:val="FootnoteReference"/>
          <w:lang w:val="en-GB"/>
        </w:rPr>
        <w:footnoteReference w:id="90"/>
      </w:r>
      <w:bookmarkEnd w:id="31"/>
      <w:r w:rsidRPr="00A47AFB">
        <w:rPr>
          <w:lang w:val="en-GB"/>
        </w:rPr>
        <w:t>.</w:t>
      </w:r>
    </w:p>
    <w:p w14:paraId="5359BE4A" w14:textId="77777777" w:rsidR="002B3D2D" w:rsidRPr="00A47AFB" w:rsidRDefault="002B3D2D" w:rsidP="005B7CD7">
      <w:pPr>
        <w:spacing w:before="240"/>
        <w:rPr>
          <w:b/>
          <w:lang w:val="en-GB"/>
        </w:rPr>
      </w:pPr>
      <w:r w:rsidRPr="00A47AFB">
        <w:rPr>
          <w:b/>
          <w:lang w:val="en-GB"/>
        </w:rPr>
        <w:t>European Framework</w:t>
      </w:r>
    </w:p>
    <w:p w14:paraId="34E60EED" w14:textId="11C5938D" w:rsidR="002B3D2D" w:rsidRPr="00A47AFB" w:rsidRDefault="002B3D2D" w:rsidP="007F26F2">
      <w:pPr>
        <w:spacing w:after="240" w:line="360" w:lineRule="auto"/>
        <w:ind w:firstLine="720"/>
        <w:jc w:val="both"/>
        <w:rPr>
          <w:lang w:val="en-GB"/>
        </w:rPr>
      </w:pPr>
      <w:r w:rsidRPr="00A47AFB">
        <w:rPr>
          <w:lang w:val="en-GB"/>
        </w:rPr>
        <w:t>The ECtHR played an instrumental role in extending the application of non-</w:t>
      </w:r>
      <w:proofErr w:type="spellStart"/>
      <w:r w:rsidRPr="00A47AFB">
        <w:rPr>
          <w:lang w:val="en-GB"/>
        </w:rPr>
        <w:t>refoulement</w:t>
      </w:r>
      <w:proofErr w:type="spellEnd"/>
      <w:r w:rsidRPr="00A47AFB">
        <w:rPr>
          <w:lang w:val="en-GB"/>
        </w:rPr>
        <w:t xml:space="preserve">, concerning </w:t>
      </w:r>
      <w:r w:rsidR="00590BBE" w:rsidRPr="00A47AFB">
        <w:rPr>
          <w:lang w:val="en-GB"/>
        </w:rPr>
        <w:t xml:space="preserve">extraterritorial </w:t>
      </w:r>
      <w:r w:rsidRPr="00A47AFB">
        <w:rPr>
          <w:lang w:val="en-GB"/>
        </w:rPr>
        <w:t xml:space="preserve">collective expulsions, in exceptional cases. </w:t>
      </w:r>
      <w:r w:rsidR="00DD06FD">
        <w:rPr>
          <w:lang w:val="en-GB"/>
        </w:rPr>
        <w:t>The externalis</w:t>
      </w:r>
      <w:r w:rsidR="005B7CD7" w:rsidRPr="00A47AFB">
        <w:rPr>
          <w:lang w:val="en-GB"/>
        </w:rPr>
        <w:t xml:space="preserve">ation of jurisdiction did not occur in a vacuum. </w:t>
      </w:r>
      <w:r w:rsidRPr="00A47AFB">
        <w:rPr>
          <w:lang w:val="en-GB"/>
        </w:rPr>
        <w:t xml:space="preserve">The contours </w:t>
      </w:r>
      <w:proofErr w:type="gramStart"/>
      <w:r w:rsidRPr="00A47AFB">
        <w:rPr>
          <w:lang w:val="en-GB"/>
        </w:rPr>
        <w:t>was</w:t>
      </w:r>
      <w:proofErr w:type="gramEnd"/>
      <w:r w:rsidR="005B7CD7" w:rsidRPr="00A47AFB">
        <w:rPr>
          <w:lang w:val="en-GB"/>
        </w:rPr>
        <w:t xml:space="preserve"> first</w:t>
      </w:r>
      <w:r w:rsidRPr="00A47AFB">
        <w:rPr>
          <w:lang w:val="en-GB"/>
        </w:rPr>
        <w:t xml:space="preserve"> established in the </w:t>
      </w:r>
      <w:proofErr w:type="spellStart"/>
      <w:r w:rsidRPr="00A47AFB">
        <w:rPr>
          <w:i/>
          <w:lang w:val="en-GB"/>
        </w:rPr>
        <w:t>Bankovic</w:t>
      </w:r>
      <w:proofErr w:type="spellEnd"/>
      <w:r w:rsidR="00FF0DB0">
        <w:rPr>
          <w:lang w:val="en-GB"/>
        </w:rPr>
        <w:t xml:space="preserve"> “</w:t>
      </w:r>
      <w:r w:rsidR="00FF0DB0" w:rsidRPr="00FF0DB0">
        <w:rPr>
          <w:i/>
          <w:lang w:val="en-GB"/>
        </w:rPr>
        <w:t>effective control</w:t>
      </w:r>
      <w:r w:rsidRPr="00FF0DB0">
        <w:rPr>
          <w:i/>
          <w:lang w:val="en-GB"/>
        </w:rPr>
        <w:t xml:space="preserve"> doctrine: the exercise of public powers over a given territory</w:t>
      </w:r>
      <w:r w:rsidR="00FF0DB0">
        <w:rPr>
          <w:lang w:val="en-GB"/>
        </w:rPr>
        <w:t>”</w:t>
      </w:r>
      <w:r w:rsidR="009672F9" w:rsidRPr="00A47AFB">
        <w:rPr>
          <w:rStyle w:val="FootnoteReference"/>
          <w:lang w:val="en-GB"/>
        </w:rPr>
        <w:footnoteReference w:id="91"/>
      </w:r>
      <w:r w:rsidRPr="00A47AFB">
        <w:rPr>
          <w:lang w:val="en-GB"/>
        </w:rPr>
        <w:t>.</w:t>
      </w:r>
      <w:r w:rsidR="005B7CD7" w:rsidRPr="00A47AFB">
        <w:rPr>
          <w:lang w:val="en-GB"/>
        </w:rPr>
        <w:t xml:space="preserve"> This was subsequently abandoned in the </w:t>
      </w:r>
      <w:r w:rsidR="005B7CD7" w:rsidRPr="00A47AFB">
        <w:rPr>
          <w:i/>
          <w:lang w:val="en-GB"/>
        </w:rPr>
        <w:t xml:space="preserve">Al </w:t>
      </w:r>
      <w:proofErr w:type="spellStart"/>
      <w:r w:rsidR="005B7CD7" w:rsidRPr="00A47AFB">
        <w:rPr>
          <w:i/>
          <w:lang w:val="en-GB"/>
        </w:rPr>
        <w:t>Skeini</w:t>
      </w:r>
      <w:proofErr w:type="spellEnd"/>
      <w:r w:rsidR="005B7CD7" w:rsidRPr="00A47AFB">
        <w:rPr>
          <w:lang w:val="en-GB"/>
        </w:rPr>
        <w:t xml:space="preserve"> case, where the ECtHR adopted a </w:t>
      </w:r>
      <w:r w:rsidR="00FF0DB0">
        <w:rPr>
          <w:lang w:val="en-GB"/>
        </w:rPr>
        <w:t>“</w:t>
      </w:r>
      <w:r w:rsidR="005B7CD7" w:rsidRPr="00FF0DB0">
        <w:rPr>
          <w:i/>
          <w:lang w:val="en-GB"/>
        </w:rPr>
        <w:t xml:space="preserve">personal </w:t>
      </w:r>
      <w:r w:rsidRPr="00FF0DB0">
        <w:rPr>
          <w:i/>
          <w:lang w:val="en-GB"/>
        </w:rPr>
        <w:t>or state agent authority model of jurisdiction</w:t>
      </w:r>
      <w:r w:rsidRPr="00A47AFB">
        <w:rPr>
          <w:lang w:val="en-GB"/>
        </w:rPr>
        <w:t xml:space="preserve">, </w:t>
      </w:r>
      <w:r w:rsidRPr="00FF0DB0">
        <w:rPr>
          <w:i/>
          <w:lang w:val="en-GB"/>
        </w:rPr>
        <w:t>including diplomatic p</w:t>
      </w:r>
      <w:r w:rsidR="00FF0DB0" w:rsidRPr="00FF0DB0">
        <w:rPr>
          <w:i/>
          <w:lang w:val="en-GB"/>
        </w:rPr>
        <w:t>osts,</w:t>
      </w:r>
      <w:r w:rsidRPr="00FF0DB0">
        <w:rPr>
          <w:i/>
          <w:lang w:val="en-GB"/>
        </w:rPr>
        <w:t xml:space="preserve"> physical custody of an individual and the exercise of public authority over a given territory short of occupation</w:t>
      </w:r>
      <w:bookmarkStart w:id="32" w:name="_Ref479462631"/>
      <w:r w:rsidR="00FF0DB0">
        <w:rPr>
          <w:lang w:val="en-GB"/>
        </w:rPr>
        <w:t>”</w:t>
      </w:r>
      <w:r w:rsidR="00F65DE2" w:rsidRPr="00A47AFB">
        <w:rPr>
          <w:rStyle w:val="FootnoteReference"/>
          <w:lang w:val="en-GB"/>
        </w:rPr>
        <w:footnoteReference w:id="92"/>
      </w:r>
      <w:bookmarkEnd w:id="32"/>
      <w:r w:rsidRPr="00A47AFB">
        <w:rPr>
          <w:lang w:val="en-GB"/>
        </w:rPr>
        <w:t xml:space="preserve">. </w:t>
      </w:r>
      <w:r w:rsidR="00921351" w:rsidRPr="00A47AFB">
        <w:rPr>
          <w:lang w:val="en-GB"/>
        </w:rPr>
        <w:t xml:space="preserve">As such, </w:t>
      </w:r>
      <w:r w:rsidR="007F26F2">
        <w:rPr>
          <w:lang w:val="en-GB"/>
        </w:rPr>
        <w:t xml:space="preserve">ECHR jurisdiction could be triggered by operations of some formalised </w:t>
      </w:r>
      <w:r w:rsidR="007F26F2" w:rsidRPr="007F26F2">
        <w:rPr>
          <w:lang w:val="en-GB"/>
        </w:rPr>
        <w:t xml:space="preserve">international </w:t>
      </w:r>
      <w:r w:rsidR="007F26F2">
        <w:rPr>
          <w:lang w:val="en-GB"/>
        </w:rPr>
        <w:t>border controls</w:t>
      </w:r>
      <w:r w:rsidR="00F65DE2" w:rsidRPr="00A47AFB">
        <w:rPr>
          <w:rStyle w:val="FootnoteReference"/>
          <w:lang w:val="en-GB"/>
        </w:rPr>
        <w:footnoteReference w:id="93"/>
      </w:r>
      <w:r w:rsidRPr="00A47AFB">
        <w:rPr>
          <w:lang w:val="en-GB"/>
        </w:rPr>
        <w:t xml:space="preserve">.  However, states </w:t>
      </w:r>
      <w:r w:rsidR="005B7CD7" w:rsidRPr="00A47AFB">
        <w:rPr>
          <w:lang w:val="en-GB"/>
        </w:rPr>
        <w:t>often</w:t>
      </w:r>
      <w:r w:rsidRPr="00A47AFB">
        <w:rPr>
          <w:lang w:val="en-GB"/>
        </w:rPr>
        <w:t xml:space="preserve"> employ</w:t>
      </w:r>
      <w:r w:rsidR="007F26F2">
        <w:rPr>
          <w:lang w:val="en-GB"/>
        </w:rPr>
        <w:t xml:space="preserve"> more covert forms of border controls and cooperation</w:t>
      </w:r>
      <w:r w:rsidR="00590BBE" w:rsidRPr="00A47AFB">
        <w:rPr>
          <w:lang w:val="en-GB"/>
        </w:rPr>
        <w:t xml:space="preserve">, </w:t>
      </w:r>
      <w:r w:rsidRPr="00A47AFB">
        <w:rPr>
          <w:lang w:val="en-GB"/>
        </w:rPr>
        <w:t>as</w:t>
      </w:r>
      <w:r w:rsidR="00FF0DB0">
        <w:rPr>
          <w:lang w:val="en-GB"/>
        </w:rPr>
        <w:t xml:space="preserve"> showcased</w:t>
      </w:r>
      <w:r w:rsidRPr="00A47AFB">
        <w:rPr>
          <w:lang w:val="en-GB"/>
        </w:rPr>
        <w:t xml:space="preserve"> in the </w:t>
      </w:r>
      <w:proofErr w:type="spellStart"/>
      <w:r w:rsidRPr="00A47AFB">
        <w:rPr>
          <w:i/>
          <w:lang w:val="en-GB"/>
        </w:rPr>
        <w:t>Hirsii</w:t>
      </w:r>
      <w:proofErr w:type="spellEnd"/>
      <w:r w:rsidRPr="00A47AFB">
        <w:rPr>
          <w:i/>
          <w:lang w:val="en-GB"/>
        </w:rPr>
        <w:t xml:space="preserve"> v. </w:t>
      </w:r>
      <w:proofErr w:type="spellStart"/>
      <w:r w:rsidRPr="00A47AFB">
        <w:rPr>
          <w:i/>
          <w:lang w:val="en-GB"/>
        </w:rPr>
        <w:t>Jamaa</w:t>
      </w:r>
      <w:proofErr w:type="spellEnd"/>
      <w:r w:rsidRPr="00A47AFB">
        <w:rPr>
          <w:lang w:val="en-GB"/>
        </w:rPr>
        <w:t xml:space="preserve"> case</w:t>
      </w:r>
      <w:r w:rsidR="007F26F2">
        <w:rPr>
          <w:rStyle w:val="FootnoteReference"/>
          <w:lang w:val="en-GB"/>
        </w:rPr>
        <w:footnoteReference w:id="94"/>
      </w:r>
      <w:r w:rsidRPr="00A47AFB">
        <w:rPr>
          <w:lang w:val="en-GB"/>
        </w:rPr>
        <w:t xml:space="preserve">. </w:t>
      </w:r>
    </w:p>
    <w:p w14:paraId="78D75F1A" w14:textId="57911301" w:rsidR="002B3D2D" w:rsidRPr="00A47AFB" w:rsidRDefault="002B3D2D" w:rsidP="00FB3CAB">
      <w:pPr>
        <w:spacing w:after="240" w:line="360" w:lineRule="auto"/>
        <w:ind w:firstLine="720"/>
        <w:jc w:val="both"/>
        <w:rPr>
          <w:lang w:val="en-GB"/>
        </w:rPr>
      </w:pPr>
      <w:r w:rsidRPr="00A47AFB">
        <w:rPr>
          <w:i/>
          <w:lang w:val="en-GB"/>
        </w:rPr>
        <w:t xml:space="preserve">Hirsi v. </w:t>
      </w:r>
      <w:proofErr w:type="spellStart"/>
      <w:r w:rsidRPr="00A47AFB">
        <w:rPr>
          <w:i/>
          <w:lang w:val="en-GB"/>
        </w:rPr>
        <w:t>Jamaa</w:t>
      </w:r>
      <w:proofErr w:type="spellEnd"/>
      <w:r w:rsidRPr="00A47AFB">
        <w:rPr>
          <w:lang w:val="en-GB"/>
        </w:rPr>
        <w:t xml:space="preserve"> concerned migrants who were pushed-back to Libya by the Italian coastguards, through the Italy-Libya readmission agreement, without processing or assessing their individual protection claims, resulting in collective expulsion. The applicants were at risk of both direct and chain </w:t>
      </w:r>
      <w:proofErr w:type="spellStart"/>
      <w:r w:rsidRPr="00A47AFB">
        <w:rPr>
          <w:lang w:val="en-GB"/>
        </w:rPr>
        <w:t>refoulement</w:t>
      </w:r>
      <w:proofErr w:type="spellEnd"/>
      <w:r w:rsidRPr="00A47AFB">
        <w:rPr>
          <w:lang w:val="en-GB"/>
        </w:rPr>
        <w:t>, a clear breach of the non-</w:t>
      </w:r>
      <w:proofErr w:type="spellStart"/>
      <w:r w:rsidRPr="00A47AFB">
        <w:rPr>
          <w:lang w:val="en-GB"/>
        </w:rPr>
        <w:t>refoulement</w:t>
      </w:r>
      <w:proofErr w:type="spellEnd"/>
      <w:r w:rsidRPr="00A47AFB">
        <w:rPr>
          <w:lang w:val="en-GB"/>
        </w:rPr>
        <w:t xml:space="preserve"> principle</w:t>
      </w:r>
      <w:r w:rsidRPr="00A47AFB">
        <w:rPr>
          <w:rStyle w:val="FootnoteReference"/>
          <w:lang w:val="en-GB"/>
        </w:rPr>
        <w:footnoteReference w:id="95"/>
      </w:r>
      <w:r w:rsidRPr="00A47AFB">
        <w:rPr>
          <w:lang w:val="en-GB"/>
        </w:rPr>
        <w:t xml:space="preserve">. </w:t>
      </w:r>
      <w:r w:rsidR="00CC2504" w:rsidRPr="00A47AFB">
        <w:rPr>
          <w:lang w:val="en-GB"/>
        </w:rPr>
        <w:t>T</w:t>
      </w:r>
      <w:r w:rsidRPr="00A47AFB">
        <w:rPr>
          <w:lang w:val="en-GB"/>
        </w:rPr>
        <w:t xml:space="preserve">he Italians contended that </w:t>
      </w:r>
      <w:r w:rsidR="00C37D9B">
        <w:rPr>
          <w:lang w:val="en-GB"/>
        </w:rPr>
        <w:t xml:space="preserve">the responsible </w:t>
      </w:r>
      <w:r w:rsidRPr="00A47AFB">
        <w:rPr>
          <w:lang w:val="en-GB"/>
        </w:rPr>
        <w:t>off</w:t>
      </w:r>
      <w:r w:rsidR="00C37D9B">
        <w:rPr>
          <w:lang w:val="en-GB"/>
        </w:rPr>
        <w:t>icials were engaged in a search-and-</w:t>
      </w:r>
      <w:r w:rsidRPr="00A47AFB">
        <w:rPr>
          <w:lang w:val="en-GB"/>
        </w:rPr>
        <w:t xml:space="preserve">rescue mission, and ‘had neither boarded the boats nor used weapons’, and so did not constitute physical custody. This was rejected by the ECtHR based on two premises; first, </w:t>
      </w:r>
      <w:r w:rsidR="00FF0DB0">
        <w:rPr>
          <w:lang w:val="en-GB"/>
        </w:rPr>
        <w:t>‘</w:t>
      </w:r>
      <w:r w:rsidRPr="00A47AFB">
        <w:rPr>
          <w:i/>
          <w:lang w:val="en-GB"/>
        </w:rPr>
        <w:t>de jure</w:t>
      </w:r>
      <w:r w:rsidRPr="00A47AFB">
        <w:rPr>
          <w:lang w:val="en-GB"/>
        </w:rPr>
        <w:t xml:space="preserve"> jurisdiction</w:t>
      </w:r>
      <w:r w:rsidR="00FF0DB0">
        <w:rPr>
          <w:lang w:val="en-GB"/>
        </w:rPr>
        <w:t>’</w:t>
      </w:r>
      <w:r w:rsidRPr="00A47AFB">
        <w:rPr>
          <w:lang w:val="en-GB"/>
        </w:rPr>
        <w:t xml:space="preserve">, </w:t>
      </w:r>
      <w:r w:rsidRPr="00A47AFB">
        <w:rPr>
          <w:lang w:val="en-GB"/>
        </w:rPr>
        <w:lastRenderedPageBreak/>
        <w:t>since the Italian flagged vessel operated in international waters</w:t>
      </w:r>
      <w:bookmarkStart w:id="33" w:name="_Ref479463528"/>
      <w:r w:rsidR="009672F9" w:rsidRPr="00A47AFB">
        <w:rPr>
          <w:rStyle w:val="FootnoteReference"/>
          <w:lang w:val="en-GB"/>
        </w:rPr>
        <w:footnoteReference w:id="96"/>
      </w:r>
      <w:bookmarkEnd w:id="33"/>
      <w:r w:rsidRPr="00A47AFB">
        <w:rPr>
          <w:lang w:val="en-GB"/>
        </w:rPr>
        <w:t xml:space="preserve">. Second, </w:t>
      </w:r>
      <w:r w:rsidR="00FF0DB0">
        <w:rPr>
          <w:lang w:val="en-GB"/>
        </w:rPr>
        <w:t>‘</w:t>
      </w:r>
      <w:r w:rsidRPr="00A47AFB">
        <w:rPr>
          <w:i/>
          <w:lang w:val="en-GB"/>
        </w:rPr>
        <w:t>de facto</w:t>
      </w:r>
      <w:r w:rsidR="00FB3CAB">
        <w:rPr>
          <w:lang w:val="en-GB"/>
        </w:rPr>
        <w:t xml:space="preserve"> control of Italy</w:t>
      </w:r>
      <w:r w:rsidR="00FF0DB0">
        <w:rPr>
          <w:lang w:val="en-GB"/>
        </w:rPr>
        <w:t>’</w:t>
      </w:r>
      <w:r w:rsidR="00FB3CAB">
        <w:rPr>
          <w:lang w:val="en-GB"/>
        </w:rPr>
        <w:t xml:space="preserve"> because</w:t>
      </w:r>
      <w:r w:rsidRPr="00A47AFB">
        <w:rPr>
          <w:lang w:val="en-GB"/>
        </w:rPr>
        <w:t xml:space="preserve"> the events occurred on</w:t>
      </w:r>
      <w:r w:rsidR="00FF0DB0">
        <w:rPr>
          <w:lang w:val="en-GB"/>
        </w:rPr>
        <w:t xml:space="preserve"> vessels of the</w:t>
      </w:r>
      <w:r w:rsidRPr="00A47AFB">
        <w:rPr>
          <w:lang w:val="en-GB"/>
        </w:rPr>
        <w:t xml:space="preserve"> Italian armed forces</w:t>
      </w:r>
      <w:r w:rsidR="00FB3CAB">
        <w:rPr>
          <w:lang w:val="en-GB"/>
        </w:rPr>
        <w:t>’</w:t>
      </w:r>
      <w:r w:rsidRPr="00A47AFB">
        <w:rPr>
          <w:lang w:val="en-GB"/>
        </w:rPr>
        <w:t xml:space="preserve"> composed exclusi</w:t>
      </w:r>
      <w:r w:rsidR="005B7CD7" w:rsidRPr="00A47AFB">
        <w:rPr>
          <w:lang w:val="en-GB"/>
        </w:rPr>
        <w:t xml:space="preserve">vely of Italian personnel. As a result, </w:t>
      </w:r>
      <w:r w:rsidRPr="00A47AFB">
        <w:rPr>
          <w:lang w:val="en-GB"/>
        </w:rPr>
        <w:t>all criteria determining personal and state agent authority were fulfilled except for “physical custody of an individual”</w:t>
      </w:r>
      <w:r w:rsidR="00DB6542" w:rsidRPr="00A47AFB">
        <w:rPr>
          <w:rStyle w:val="FootnoteReference"/>
          <w:lang w:val="en-GB"/>
        </w:rPr>
        <w:footnoteReference w:id="97"/>
      </w:r>
      <w:r w:rsidRPr="00A47AFB">
        <w:rPr>
          <w:lang w:val="en-GB"/>
        </w:rPr>
        <w:t xml:space="preserve">. In the same breath, the Court lowered the threshold of control by not requiring detention to determine de jure or de facto control. </w:t>
      </w:r>
      <w:r w:rsidR="005B7CD7" w:rsidRPr="00A47AFB">
        <w:rPr>
          <w:lang w:val="en-GB"/>
        </w:rPr>
        <w:t xml:space="preserve">Thus, </w:t>
      </w:r>
      <w:r w:rsidRPr="00A47AFB">
        <w:rPr>
          <w:lang w:val="en-GB"/>
        </w:rPr>
        <w:t>Italy had violated Art.3</w:t>
      </w:r>
      <w:r w:rsidR="005B7CD7" w:rsidRPr="00A47AFB">
        <w:rPr>
          <w:lang w:val="en-GB"/>
        </w:rPr>
        <w:t xml:space="preserve"> ECHR</w:t>
      </w:r>
      <w:r w:rsidRPr="00A47AFB">
        <w:rPr>
          <w:lang w:val="en-GB"/>
        </w:rPr>
        <w:t xml:space="preserve"> in its collective expulsion of the applicants without due process, notwithstanding it occurring in international waters</w:t>
      </w:r>
      <w:bookmarkStart w:id="34" w:name="_Ref479464994"/>
      <w:r w:rsidRPr="00A47AFB">
        <w:rPr>
          <w:rStyle w:val="FootnoteReference"/>
          <w:lang w:val="en-GB"/>
        </w:rPr>
        <w:footnoteReference w:id="98"/>
      </w:r>
      <w:bookmarkEnd w:id="34"/>
    </w:p>
    <w:p w14:paraId="796873CF" w14:textId="09F600FA" w:rsidR="002B3D2D" w:rsidRPr="00A47AFB" w:rsidRDefault="002B3D2D" w:rsidP="00874D46">
      <w:pPr>
        <w:spacing w:line="360" w:lineRule="auto"/>
        <w:ind w:firstLine="720"/>
        <w:jc w:val="both"/>
        <w:rPr>
          <w:lang w:val="en-GB"/>
        </w:rPr>
      </w:pPr>
      <w:r w:rsidRPr="00A47AFB">
        <w:rPr>
          <w:lang w:val="en-GB"/>
        </w:rPr>
        <w:t>While the ECtHR jurisprudence on extra-territorial</w:t>
      </w:r>
      <w:r w:rsidR="00FB3CAB">
        <w:rPr>
          <w:lang w:val="en-GB"/>
        </w:rPr>
        <w:t xml:space="preserve"> jurisdiction</w:t>
      </w:r>
      <w:r w:rsidR="00874D46">
        <w:rPr>
          <w:lang w:val="en-GB"/>
        </w:rPr>
        <w:t xml:space="preserve"> is incipient and may not support a general reading</w:t>
      </w:r>
      <w:r w:rsidRPr="00A47AFB">
        <w:rPr>
          <w:lang w:val="en-GB"/>
        </w:rPr>
        <w:t xml:space="preserve">, it can be applied extra-territorially if </w:t>
      </w:r>
      <w:r w:rsidR="00874D46">
        <w:rPr>
          <w:lang w:val="en-GB"/>
        </w:rPr>
        <w:t>‘</w:t>
      </w:r>
      <w:r w:rsidRPr="00A47AFB">
        <w:rPr>
          <w:i/>
          <w:lang w:val="en-GB"/>
        </w:rPr>
        <w:t>de jure</w:t>
      </w:r>
      <w:r w:rsidR="00874D46">
        <w:rPr>
          <w:i/>
          <w:lang w:val="en-GB"/>
        </w:rPr>
        <w:t>’</w:t>
      </w:r>
      <w:r w:rsidRPr="00A47AFB">
        <w:rPr>
          <w:lang w:val="en-GB"/>
        </w:rPr>
        <w:t xml:space="preserve"> and </w:t>
      </w:r>
      <w:r w:rsidR="00874D46">
        <w:rPr>
          <w:lang w:val="en-GB"/>
        </w:rPr>
        <w:t>‘</w:t>
      </w:r>
      <w:r w:rsidRPr="00A47AFB">
        <w:rPr>
          <w:i/>
          <w:lang w:val="en-GB"/>
        </w:rPr>
        <w:t>de facto</w:t>
      </w:r>
      <w:r w:rsidRPr="00A47AFB">
        <w:rPr>
          <w:lang w:val="en-GB"/>
        </w:rPr>
        <w:t xml:space="preserve"> control</w:t>
      </w:r>
      <w:r w:rsidR="00874D46">
        <w:rPr>
          <w:lang w:val="en-GB"/>
        </w:rPr>
        <w:t>’</w:t>
      </w:r>
      <w:r w:rsidR="00590BBE" w:rsidRPr="00A47AFB">
        <w:rPr>
          <w:lang w:val="en-GB"/>
        </w:rPr>
        <w:t xml:space="preserve"> can be effectively established, pursuant to </w:t>
      </w:r>
      <w:r w:rsidRPr="00A47AFB">
        <w:rPr>
          <w:lang w:val="en-GB"/>
        </w:rPr>
        <w:t xml:space="preserve">the </w:t>
      </w:r>
      <w:r w:rsidRPr="00A47AFB">
        <w:rPr>
          <w:i/>
          <w:lang w:val="en-GB"/>
        </w:rPr>
        <w:t xml:space="preserve">Al </w:t>
      </w:r>
      <w:proofErr w:type="spellStart"/>
      <w:r w:rsidRPr="00A47AFB">
        <w:rPr>
          <w:i/>
          <w:lang w:val="en-GB"/>
        </w:rPr>
        <w:t>Skeini</w:t>
      </w:r>
      <w:proofErr w:type="spellEnd"/>
      <w:r w:rsidRPr="00A47AFB">
        <w:rPr>
          <w:lang w:val="en-GB"/>
        </w:rPr>
        <w:t xml:space="preserve"> and </w:t>
      </w:r>
      <w:r w:rsidRPr="00A47AFB">
        <w:rPr>
          <w:i/>
          <w:lang w:val="en-GB"/>
        </w:rPr>
        <w:t>Hirsi</w:t>
      </w:r>
      <w:r w:rsidRPr="00A47AFB">
        <w:rPr>
          <w:lang w:val="en-GB"/>
        </w:rPr>
        <w:t xml:space="preserve"> rulings</w:t>
      </w:r>
      <w:r w:rsidR="000A6E2C">
        <w:rPr>
          <w:rStyle w:val="FootnoteReference"/>
          <w:lang w:val="en-GB"/>
        </w:rPr>
        <w:footnoteReference w:id="99"/>
      </w:r>
      <w:r w:rsidRPr="00A47AFB">
        <w:rPr>
          <w:lang w:val="en-GB"/>
        </w:rPr>
        <w:t xml:space="preserve">.  </w:t>
      </w:r>
      <w:proofErr w:type="gramStart"/>
      <w:r w:rsidRPr="00A47AFB">
        <w:rPr>
          <w:lang w:val="en-GB"/>
        </w:rPr>
        <w:t>In light of</w:t>
      </w:r>
      <w:proofErr w:type="gramEnd"/>
      <w:r w:rsidR="00AC7B70" w:rsidRPr="00A47AFB">
        <w:rPr>
          <w:lang w:val="en-GB"/>
        </w:rPr>
        <w:t xml:space="preserve"> the</w:t>
      </w:r>
      <w:r w:rsidR="007F3ADE" w:rsidRPr="00A47AFB">
        <w:rPr>
          <w:lang w:val="en-GB"/>
        </w:rPr>
        <w:t>se developments in</w:t>
      </w:r>
      <w:r w:rsidRPr="00A47AFB">
        <w:rPr>
          <w:lang w:val="en-GB"/>
        </w:rPr>
        <w:t xml:space="preserve"> International and European law; it is crucial to assess the EU’s readmissions deal with Turkey. </w:t>
      </w:r>
    </w:p>
    <w:p w14:paraId="372FC6B5" w14:textId="77777777" w:rsidR="002B3D2D" w:rsidRPr="00A47AFB" w:rsidRDefault="002B3D2D" w:rsidP="00A47AFB">
      <w:pPr>
        <w:spacing w:before="240" w:line="360" w:lineRule="auto"/>
        <w:jc w:val="both"/>
        <w:rPr>
          <w:b/>
          <w:u w:val="single"/>
          <w:lang w:val="en-GB"/>
        </w:rPr>
      </w:pPr>
      <w:r w:rsidRPr="00A47AFB">
        <w:rPr>
          <w:b/>
          <w:u w:val="single"/>
          <w:lang w:val="en-GB"/>
        </w:rPr>
        <w:t>EU-Turkey Deal.</w:t>
      </w:r>
    </w:p>
    <w:p w14:paraId="1CBEF3F3" w14:textId="050204F1" w:rsidR="00A47AFB" w:rsidRPr="00A47AFB" w:rsidRDefault="005E71E9" w:rsidP="00FB3CAB">
      <w:pPr>
        <w:spacing w:after="240" w:line="360" w:lineRule="auto"/>
        <w:ind w:firstLine="720"/>
        <w:jc w:val="both"/>
        <w:rPr>
          <w:lang w:val="en-GB"/>
        </w:rPr>
      </w:pPr>
      <w:r w:rsidRPr="00A47AFB">
        <w:rPr>
          <w:lang w:val="en-GB"/>
        </w:rPr>
        <w:t>While the EU-Turkey Readmission includes safeguards against collective expulsion and assurances of an individual assessment of asylum applications pursuant to the APD, it does not provide procedural rules to prohibit collective expulsion in international waters</w:t>
      </w:r>
      <w:r w:rsidR="00DD06FD">
        <w:rPr>
          <w:rStyle w:val="FootnoteReference"/>
          <w:lang w:val="en-GB"/>
        </w:rPr>
        <w:footnoteReference w:id="100"/>
      </w:r>
      <w:r w:rsidRPr="00A47AFB">
        <w:rPr>
          <w:lang w:val="en-GB"/>
        </w:rPr>
        <w:t>. Firstly, the Statement stipulates that</w:t>
      </w:r>
      <w:r w:rsidR="00FB3CAB">
        <w:rPr>
          <w:lang w:val="en-GB"/>
        </w:rPr>
        <w:t xml:space="preserve">, as of 20 March 2016, </w:t>
      </w:r>
      <w:r w:rsidR="00A81662" w:rsidRPr="00A47AFB">
        <w:rPr>
          <w:lang w:val="en-GB"/>
        </w:rPr>
        <w:t xml:space="preserve">all new irregular migrants </w:t>
      </w:r>
      <w:r w:rsidR="00FB3CAB">
        <w:rPr>
          <w:lang w:val="en-GB"/>
        </w:rPr>
        <w:t xml:space="preserve">originating from or transiting through </w:t>
      </w:r>
      <w:r w:rsidR="002B3D2D" w:rsidRPr="00A47AFB">
        <w:rPr>
          <w:lang w:val="en-GB"/>
        </w:rPr>
        <w:t>Turkey will be returned</w:t>
      </w:r>
      <w:r w:rsidR="002B3D2D" w:rsidRPr="00A47AFB">
        <w:rPr>
          <w:rStyle w:val="FootnoteReference"/>
          <w:lang w:val="en-GB"/>
        </w:rPr>
        <w:footnoteReference w:id="101"/>
      </w:r>
      <w:r w:rsidR="002B3D2D" w:rsidRPr="00A47AFB">
        <w:rPr>
          <w:lang w:val="en-GB"/>
        </w:rPr>
        <w:t xml:space="preserve">. </w:t>
      </w:r>
      <w:r w:rsidR="00C816E4" w:rsidRPr="00A47AFB">
        <w:rPr>
          <w:lang w:val="en-GB"/>
        </w:rPr>
        <w:t>T</w:t>
      </w:r>
      <w:r w:rsidR="0000413B" w:rsidRPr="00A47AFB">
        <w:rPr>
          <w:lang w:val="en-GB"/>
        </w:rPr>
        <w:t xml:space="preserve">he </w:t>
      </w:r>
      <w:r w:rsidR="007D19A7" w:rsidRPr="00A47AFB">
        <w:rPr>
          <w:lang w:val="en-GB"/>
        </w:rPr>
        <w:t xml:space="preserve">word </w:t>
      </w:r>
      <w:r w:rsidR="0000413B" w:rsidRPr="00A47AFB">
        <w:rPr>
          <w:lang w:val="en-GB"/>
        </w:rPr>
        <w:t>“</w:t>
      </w:r>
      <w:r w:rsidR="0000413B" w:rsidRPr="00874D46">
        <w:rPr>
          <w:i/>
          <w:lang w:val="en-GB"/>
        </w:rPr>
        <w:t>all</w:t>
      </w:r>
      <w:r w:rsidR="0000413B" w:rsidRPr="00A47AFB">
        <w:rPr>
          <w:lang w:val="en-GB"/>
        </w:rPr>
        <w:t>” implies a legal ground for collective expulsion</w:t>
      </w:r>
      <w:r w:rsidRPr="00A47AFB">
        <w:rPr>
          <w:lang w:val="en-GB"/>
        </w:rPr>
        <w:t>, which is dispelled by the asylum seekers</w:t>
      </w:r>
      <w:r w:rsidR="00D5136F" w:rsidRPr="00A47AFB">
        <w:rPr>
          <w:lang w:val="en-GB"/>
        </w:rPr>
        <w:t>’</w:t>
      </w:r>
      <w:r w:rsidRPr="00A47AFB">
        <w:rPr>
          <w:lang w:val="en-GB"/>
        </w:rPr>
        <w:t xml:space="preserve"> right to effective access to procedures, pursuant to Art.</w:t>
      </w:r>
      <w:r w:rsidR="00D5136F" w:rsidRPr="00A47AFB">
        <w:rPr>
          <w:lang w:val="en-GB"/>
        </w:rPr>
        <w:t>25</w:t>
      </w:r>
      <w:r w:rsidRPr="00A47AFB">
        <w:rPr>
          <w:lang w:val="en-GB"/>
        </w:rPr>
        <w:t>APD</w:t>
      </w:r>
      <w:r w:rsidR="00D93CF3" w:rsidRPr="00A47AFB">
        <w:rPr>
          <w:rStyle w:val="FootnoteReference"/>
          <w:lang w:val="en-GB"/>
        </w:rPr>
        <w:footnoteReference w:id="102"/>
      </w:r>
      <w:r w:rsidRPr="00A47AFB">
        <w:rPr>
          <w:lang w:val="en-GB"/>
        </w:rPr>
        <w:t>. However, the APD does not apply outside EU territories</w:t>
      </w:r>
      <w:r w:rsidR="00D5136F" w:rsidRPr="00A47AFB">
        <w:rPr>
          <w:lang w:val="en-GB"/>
        </w:rPr>
        <w:t xml:space="preserve">, and so irregular migrants intercepted in </w:t>
      </w:r>
      <w:r w:rsidR="00A250BF" w:rsidRPr="00A47AFB">
        <w:rPr>
          <w:lang w:val="en-GB"/>
        </w:rPr>
        <w:t>Turkish</w:t>
      </w:r>
      <w:r w:rsidR="00D5136F" w:rsidRPr="00A47AFB">
        <w:rPr>
          <w:lang w:val="en-GB"/>
        </w:rPr>
        <w:t xml:space="preserve"> waters or the high seas would not have the legal right to effective access to procedures</w:t>
      </w:r>
      <w:r w:rsidR="00DB6542" w:rsidRPr="00A47AFB">
        <w:rPr>
          <w:rStyle w:val="FootnoteReference"/>
          <w:lang w:val="en-GB"/>
        </w:rPr>
        <w:footnoteReference w:id="103"/>
      </w:r>
      <w:r w:rsidR="00D5136F" w:rsidRPr="00A47AFB">
        <w:rPr>
          <w:lang w:val="en-GB"/>
        </w:rPr>
        <w:t xml:space="preserve">. </w:t>
      </w:r>
      <w:r w:rsidR="00DD06FD">
        <w:rPr>
          <w:lang w:val="en-GB"/>
        </w:rPr>
        <w:t xml:space="preserve">Without legal access to procedures, protection seekers can be readmitted to Turkey as irregular migrants without due regard to their protection claims, pursuant to RD, amounting </w:t>
      </w:r>
      <w:r w:rsidR="00D5136F" w:rsidRPr="00A47AFB">
        <w:rPr>
          <w:lang w:val="en-GB"/>
        </w:rPr>
        <w:t>to collective expulsion</w:t>
      </w:r>
      <w:r w:rsidR="00A250BF" w:rsidRPr="00A47AFB">
        <w:rPr>
          <w:rStyle w:val="FootnoteReference"/>
          <w:lang w:val="en-GB"/>
        </w:rPr>
        <w:footnoteReference w:id="104"/>
      </w:r>
      <w:r w:rsidR="00D5136F" w:rsidRPr="00A47AFB">
        <w:rPr>
          <w:lang w:val="en-GB"/>
        </w:rPr>
        <w:t>. As such,</w:t>
      </w:r>
      <w:r w:rsidR="00A250BF" w:rsidRPr="00A47AFB">
        <w:rPr>
          <w:lang w:val="en-GB"/>
        </w:rPr>
        <w:t xml:space="preserve"> the</w:t>
      </w:r>
      <w:r w:rsidR="00D5136F" w:rsidRPr="00A47AFB">
        <w:rPr>
          <w:lang w:val="en-GB"/>
        </w:rPr>
        <w:t xml:space="preserve"> </w:t>
      </w:r>
      <w:r w:rsidR="00A250BF" w:rsidRPr="00A47AFB">
        <w:rPr>
          <w:lang w:val="en-GB"/>
        </w:rPr>
        <w:t xml:space="preserve">dearth of procedural </w:t>
      </w:r>
      <w:r w:rsidR="00A250BF" w:rsidRPr="00A47AFB">
        <w:rPr>
          <w:lang w:val="en-GB"/>
        </w:rPr>
        <w:lastRenderedPageBreak/>
        <w:t>rules to regulate non-</w:t>
      </w:r>
      <w:proofErr w:type="spellStart"/>
      <w:r w:rsidR="00A250BF" w:rsidRPr="00A47AFB">
        <w:rPr>
          <w:lang w:val="en-GB"/>
        </w:rPr>
        <w:t>refoulement</w:t>
      </w:r>
      <w:proofErr w:type="spellEnd"/>
      <w:r w:rsidR="00A250BF" w:rsidRPr="00A47AFB">
        <w:rPr>
          <w:lang w:val="en-GB"/>
        </w:rPr>
        <w:t xml:space="preserve"> violations extraterritorially illustrates that this deal is in breach of I</w:t>
      </w:r>
      <w:r w:rsidR="00D5136F" w:rsidRPr="00A47AFB">
        <w:rPr>
          <w:lang w:val="en-GB"/>
        </w:rPr>
        <w:t>nternational and European framew</w:t>
      </w:r>
      <w:r w:rsidR="00590BBE" w:rsidRPr="00A47AFB">
        <w:rPr>
          <w:lang w:val="en-GB"/>
        </w:rPr>
        <w:t>ork of non-</w:t>
      </w:r>
      <w:proofErr w:type="spellStart"/>
      <w:r w:rsidR="00590BBE" w:rsidRPr="00A47AFB">
        <w:rPr>
          <w:lang w:val="en-GB"/>
        </w:rPr>
        <w:t>refoulement</w:t>
      </w:r>
      <w:proofErr w:type="spellEnd"/>
      <w:r w:rsidR="00590BBE" w:rsidRPr="00A47AFB">
        <w:rPr>
          <w:lang w:val="en-GB"/>
        </w:rPr>
        <w:t xml:space="preserve"> that now applies </w:t>
      </w:r>
      <w:r w:rsidR="00A250BF" w:rsidRPr="00A47AFB">
        <w:rPr>
          <w:lang w:val="en-GB"/>
        </w:rPr>
        <w:t>in</w:t>
      </w:r>
      <w:r w:rsidR="00D5136F" w:rsidRPr="00A47AFB">
        <w:rPr>
          <w:lang w:val="en-GB"/>
        </w:rPr>
        <w:t xml:space="preserve"> extraterritorial jurisdictions</w:t>
      </w:r>
      <w:r w:rsidR="00D93CF3" w:rsidRPr="00A47AFB">
        <w:rPr>
          <w:rStyle w:val="FootnoteReference"/>
          <w:lang w:val="en-GB"/>
        </w:rPr>
        <w:footnoteReference w:id="105"/>
      </w:r>
      <w:r w:rsidR="0028273A">
        <w:rPr>
          <w:lang w:val="en-GB"/>
        </w:rPr>
        <w:t xml:space="preserve">. </w:t>
      </w:r>
    </w:p>
    <w:p w14:paraId="44301A17" w14:textId="1CD56436" w:rsidR="00A47AFB" w:rsidRPr="00A47AFB" w:rsidRDefault="00A47AFB" w:rsidP="00A47AFB">
      <w:pPr>
        <w:pStyle w:val="Heading1"/>
        <w:ind w:firstLine="720"/>
        <w:rPr>
          <w:b/>
          <w:color w:val="auto"/>
        </w:rPr>
      </w:pPr>
      <w:r w:rsidRPr="00A47AFB">
        <w:rPr>
          <w:b/>
          <w:color w:val="auto"/>
        </w:rPr>
        <w:t>Conclusion</w:t>
      </w:r>
    </w:p>
    <w:p w14:paraId="03450532" w14:textId="687A9EAB" w:rsidR="002A6E7D" w:rsidRPr="00A47AFB" w:rsidRDefault="002A6E7D" w:rsidP="00C52BAE">
      <w:pPr>
        <w:spacing w:after="240" w:line="360" w:lineRule="auto"/>
        <w:jc w:val="both"/>
        <w:rPr>
          <w:sz w:val="23"/>
          <w:szCs w:val="23"/>
          <w:lang w:val="en-GB"/>
        </w:rPr>
      </w:pPr>
      <w:r w:rsidRPr="00A47AFB">
        <w:rPr>
          <w:sz w:val="23"/>
          <w:szCs w:val="23"/>
          <w:lang w:val="en-GB"/>
        </w:rPr>
        <w:t>The principle of non-</w:t>
      </w:r>
      <w:proofErr w:type="spellStart"/>
      <w:r w:rsidRPr="00A47AFB">
        <w:rPr>
          <w:sz w:val="23"/>
          <w:szCs w:val="23"/>
          <w:lang w:val="en-GB"/>
        </w:rPr>
        <w:t>refoulement</w:t>
      </w:r>
      <w:proofErr w:type="spellEnd"/>
      <w:r w:rsidRPr="00A47AFB">
        <w:rPr>
          <w:sz w:val="23"/>
          <w:szCs w:val="23"/>
          <w:lang w:val="en-GB"/>
        </w:rPr>
        <w:t xml:space="preserve"> has changed substantially through codification and judicial interpretation by, inter alia, UNHCR and ECtHR. This appertains to the non-</w:t>
      </w:r>
      <w:proofErr w:type="spellStart"/>
      <w:r w:rsidRPr="00A47AFB">
        <w:rPr>
          <w:sz w:val="23"/>
          <w:szCs w:val="23"/>
          <w:lang w:val="en-GB"/>
        </w:rPr>
        <w:t>refoulement’s</w:t>
      </w:r>
      <w:proofErr w:type="spellEnd"/>
      <w:r w:rsidRPr="00A47AFB">
        <w:rPr>
          <w:sz w:val="23"/>
          <w:szCs w:val="23"/>
          <w:lang w:val="en-GB"/>
        </w:rPr>
        <w:t xml:space="preserve"> </w:t>
      </w:r>
      <w:proofErr w:type="spellStart"/>
      <w:r w:rsidRPr="00A47AFB">
        <w:rPr>
          <w:i/>
          <w:sz w:val="23"/>
          <w:szCs w:val="23"/>
          <w:lang w:val="en-GB"/>
        </w:rPr>
        <w:t>ratione</w:t>
      </w:r>
      <w:proofErr w:type="spellEnd"/>
      <w:r w:rsidRPr="00A47AFB">
        <w:rPr>
          <w:i/>
          <w:sz w:val="23"/>
          <w:szCs w:val="23"/>
          <w:lang w:val="en-GB"/>
        </w:rPr>
        <w:t xml:space="preserve"> loci</w:t>
      </w:r>
      <w:r w:rsidRPr="00A47AFB">
        <w:rPr>
          <w:sz w:val="23"/>
          <w:szCs w:val="23"/>
          <w:lang w:val="en-GB"/>
        </w:rPr>
        <w:t xml:space="preserve">, which has metamorphosed in two ways. </w:t>
      </w:r>
      <w:r w:rsidR="00AC7B70" w:rsidRPr="00A47AFB">
        <w:rPr>
          <w:sz w:val="23"/>
          <w:szCs w:val="23"/>
          <w:lang w:val="en-GB"/>
        </w:rPr>
        <w:t>R</w:t>
      </w:r>
      <w:r w:rsidRPr="00A47AFB">
        <w:rPr>
          <w:sz w:val="23"/>
          <w:szCs w:val="23"/>
          <w:lang w:val="en-GB"/>
        </w:rPr>
        <w:t>esponsibility for non-</w:t>
      </w:r>
      <w:proofErr w:type="spellStart"/>
      <w:r w:rsidRPr="00A47AFB">
        <w:rPr>
          <w:sz w:val="23"/>
          <w:szCs w:val="23"/>
          <w:lang w:val="en-GB"/>
        </w:rPr>
        <w:t>refoulement</w:t>
      </w:r>
      <w:proofErr w:type="spellEnd"/>
      <w:r w:rsidRPr="00A47AFB">
        <w:rPr>
          <w:sz w:val="23"/>
          <w:szCs w:val="23"/>
          <w:lang w:val="en-GB"/>
        </w:rPr>
        <w:t xml:space="preserve"> violations from STC can now also be attributed to the Sending State that failed to consider the risk of onward expulsion</w:t>
      </w:r>
      <w:r w:rsidR="00DB6542" w:rsidRPr="00A47AFB">
        <w:rPr>
          <w:rStyle w:val="FootnoteReference"/>
          <w:sz w:val="23"/>
          <w:szCs w:val="23"/>
          <w:lang w:val="en-GB"/>
        </w:rPr>
        <w:footnoteReference w:id="106"/>
      </w:r>
      <w:r w:rsidRPr="00A47AFB">
        <w:rPr>
          <w:sz w:val="23"/>
          <w:szCs w:val="23"/>
          <w:lang w:val="en-GB"/>
        </w:rPr>
        <w:t xml:space="preserve">. The ECtHR jurisprudence also </w:t>
      </w:r>
      <w:r w:rsidR="00AC7B70" w:rsidRPr="00A47AFB">
        <w:rPr>
          <w:sz w:val="23"/>
          <w:szCs w:val="23"/>
          <w:lang w:val="en-GB"/>
        </w:rPr>
        <w:t xml:space="preserve">reveals </w:t>
      </w:r>
      <w:r w:rsidRPr="00A47AFB">
        <w:rPr>
          <w:sz w:val="23"/>
          <w:szCs w:val="23"/>
          <w:lang w:val="en-GB"/>
        </w:rPr>
        <w:t>that blind trust in STC standards cannot absolve the Sending State from the breach</w:t>
      </w:r>
      <w:r w:rsidR="00C52BAE" w:rsidRPr="00A47AFB">
        <w:rPr>
          <w:rStyle w:val="FootnoteReference"/>
          <w:sz w:val="23"/>
          <w:szCs w:val="23"/>
          <w:lang w:val="en-GB"/>
        </w:rPr>
        <w:footnoteReference w:id="107"/>
      </w:r>
      <w:r w:rsidR="00AC7B70" w:rsidRPr="00A47AFB">
        <w:rPr>
          <w:sz w:val="23"/>
          <w:szCs w:val="23"/>
          <w:lang w:val="en-GB"/>
        </w:rPr>
        <w:t>. Furthermore</w:t>
      </w:r>
      <w:r w:rsidRPr="00A47AFB">
        <w:rPr>
          <w:sz w:val="23"/>
          <w:szCs w:val="23"/>
          <w:lang w:val="en-GB"/>
        </w:rPr>
        <w:t>, the responsibility for non-</w:t>
      </w:r>
      <w:proofErr w:type="spellStart"/>
      <w:r w:rsidRPr="00A47AFB">
        <w:rPr>
          <w:sz w:val="23"/>
          <w:szCs w:val="23"/>
          <w:lang w:val="en-GB"/>
        </w:rPr>
        <w:t>refoulement</w:t>
      </w:r>
      <w:proofErr w:type="spellEnd"/>
      <w:r w:rsidRPr="00A47AFB">
        <w:rPr>
          <w:sz w:val="23"/>
          <w:szCs w:val="23"/>
          <w:lang w:val="en-GB"/>
        </w:rPr>
        <w:t xml:space="preserve"> violations</w:t>
      </w:r>
      <w:r w:rsidRPr="00A47AFB">
        <w:rPr>
          <w:lang w:val="en-GB"/>
        </w:rPr>
        <w:t xml:space="preserve"> </w:t>
      </w:r>
      <w:r w:rsidRPr="00A47AFB">
        <w:rPr>
          <w:sz w:val="23"/>
          <w:szCs w:val="23"/>
          <w:lang w:val="en-GB"/>
        </w:rPr>
        <w:t>through collective expulsion, outside the Sending State</w:t>
      </w:r>
      <w:r w:rsidR="00DD06FD">
        <w:rPr>
          <w:sz w:val="23"/>
          <w:szCs w:val="23"/>
          <w:lang w:val="en-GB"/>
        </w:rPr>
        <w:t>’</w:t>
      </w:r>
      <w:r w:rsidRPr="00A47AFB">
        <w:rPr>
          <w:sz w:val="23"/>
          <w:szCs w:val="23"/>
          <w:lang w:val="en-GB"/>
        </w:rPr>
        <w:t>s territory, can now be</w:t>
      </w:r>
      <w:r w:rsidR="00D052F9" w:rsidRPr="00A47AFB">
        <w:rPr>
          <w:sz w:val="23"/>
          <w:szCs w:val="23"/>
          <w:lang w:val="en-GB"/>
        </w:rPr>
        <w:t xml:space="preserve"> attributed to that</w:t>
      </w:r>
      <w:r w:rsidRPr="00A47AFB">
        <w:rPr>
          <w:sz w:val="23"/>
          <w:szCs w:val="23"/>
          <w:lang w:val="en-GB"/>
        </w:rPr>
        <w:t xml:space="preserve"> state, provided that</w:t>
      </w:r>
      <w:r w:rsidR="00D052F9" w:rsidRPr="00A47AFB">
        <w:rPr>
          <w:sz w:val="23"/>
          <w:szCs w:val="23"/>
          <w:lang w:val="en-GB"/>
        </w:rPr>
        <w:t xml:space="preserve"> the</w:t>
      </w:r>
      <w:r w:rsidRPr="00A47AFB">
        <w:rPr>
          <w:sz w:val="23"/>
          <w:szCs w:val="23"/>
          <w:lang w:val="en-GB"/>
        </w:rPr>
        <w:t xml:space="preserve"> Sending State’s </w:t>
      </w:r>
      <w:r w:rsidRPr="00A47AFB">
        <w:rPr>
          <w:i/>
          <w:sz w:val="23"/>
          <w:szCs w:val="23"/>
          <w:lang w:val="en-GB"/>
        </w:rPr>
        <w:t>de jure</w:t>
      </w:r>
      <w:r w:rsidRPr="00A47AFB">
        <w:rPr>
          <w:sz w:val="23"/>
          <w:szCs w:val="23"/>
          <w:lang w:val="en-GB"/>
        </w:rPr>
        <w:t xml:space="preserve"> or </w:t>
      </w:r>
      <w:r w:rsidRPr="00A47AFB">
        <w:rPr>
          <w:i/>
          <w:sz w:val="23"/>
          <w:szCs w:val="23"/>
          <w:lang w:val="en-GB"/>
        </w:rPr>
        <w:t>de facto</w:t>
      </w:r>
      <w:r w:rsidRPr="00A47AFB">
        <w:rPr>
          <w:sz w:val="23"/>
          <w:szCs w:val="23"/>
          <w:lang w:val="en-GB"/>
        </w:rPr>
        <w:t xml:space="preserve"> control over the migrants can be established. So, non-</w:t>
      </w:r>
      <w:proofErr w:type="spellStart"/>
      <w:r w:rsidRPr="00A47AFB">
        <w:rPr>
          <w:sz w:val="23"/>
          <w:szCs w:val="23"/>
          <w:lang w:val="en-GB"/>
        </w:rPr>
        <w:t>refoulement</w:t>
      </w:r>
      <w:proofErr w:type="spellEnd"/>
      <w:r w:rsidRPr="00A47AFB">
        <w:rPr>
          <w:sz w:val="23"/>
          <w:szCs w:val="23"/>
          <w:lang w:val="en-GB"/>
        </w:rPr>
        <w:t xml:space="preserve"> must now be read beyond States’ territorial boundaries</w:t>
      </w:r>
      <w:r w:rsidR="00C52BAE" w:rsidRPr="00A47AFB">
        <w:rPr>
          <w:rStyle w:val="FootnoteReference"/>
          <w:sz w:val="23"/>
          <w:szCs w:val="23"/>
          <w:lang w:val="en-GB"/>
        </w:rPr>
        <w:footnoteReference w:id="108"/>
      </w:r>
      <w:r w:rsidRPr="00A47AFB">
        <w:rPr>
          <w:sz w:val="23"/>
          <w:szCs w:val="23"/>
          <w:lang w:val="en-GB"/>
        </w:rPr>
        <w:t>.</w:t>
      </w:r>
    </w:p>
    <w:p w14:paraId="4F684C5E" w14:textId="1EEF6DBE" w:rsidR="00DA6816" w:rsidRDefault="002A6E7D" w:rsidP="00237749">
      <w:pPr>
        <w:spacing w:line="360" w:lineRule="auto"/>
        <w:jc w:val="both"/>
        <w:rPr>
          <w:sz w:val="23"/>
          <w:szCs w:val="23"/>
          <w:lang w:val="en-GB"/>
        </w:rPr>
      </w:pPr>
      <w:r w:rsidRPr="00A47AFB">
        <w:rPr>
          <w:sz w:val="23"/>
          <w:szCs w:val="23"/>
          <w:lang w:val="en-GB"/>
        </w:rPr>
        <w:tab/>
        <w:t>In the light o</w:t>
      </w:r>
      <w:r w:rsidR="00FB3CAB">
        <w:rPr>
          <w:sz w:val="23"/>
          <w:szCs w:val="23"/>
          <w:lang w:val="en-GB"/>
        </w:rPr>
        <w:t xml:space="preserve">f the above analysis, this paper argues </w:t>
      </w:r>
      <w:r w:rsidRPr="00A47AFB">
        <w:rPr>
          <w:sz w:val="23"/>
          <w:szCs w:val="23"/>
          <w:lang w:val="en-GB"/>
        </w:rPr>
        <w:t>that EU readmission practices, particularly und</w:t>
      </w:r>
      <w:r w:rsidR="00AC7B70" w:rsidRPr="00A47AFB">
        <w:rPr>
          <w:sz w:val="23"/>
          <w:szCs w:val="23"/>
          <w:lang w:val="en-GB"/>
        </w:rPr>
        <w:t>er the recent EU-Turkey deal, are</w:t>
      </w:r>
      <w:r w:rsidRPr="00A47AFB">
        <w:rPr>
          <w:sz w:val="23"/>
          <w:szCs w:val="23"/>
          <w:lang w:val="en-GB"/>
        </w:rPr>
        <w:t xml:space="preserve"> incongruent with the International and European framework on non-</w:t>
      </w:r>
      <w:proofErr w:type="spellStart"/>
      <w:r w:rsidRPr="00A47AFB">
        <w:rPr>
          <w:sz w:val="23"/>
          <w:szCs w:val="23"/>
          <w:lang w:val="en-GB"/>
        </w:rPr>
        <w:t>refoulement</w:t>
      </w:r>
      <w:proofErr w:type="spellEnd"/>
      <w:r w:rsidRPr="00A47AFB">
        <w:rPr>
          <w:sz w:val="23"/>
          <w:szCs w:val="23"/>
          <w:lang w:val="en-GB"/>
        </w:rPr>
        <w:t xml:space="preserve"> as it stands today. Firstly, t</w:t>
      </w:r>
      <w:r w:rsidR="00AC7B70" w:rsidRPr="00A47AFB">
        <w:rPr>
          <w:sz w:val="23"/>
          <w:szCs w:val="23"/>
          <w:lang w:val="en-GB"/>
        </w:rPr>
        <w:t>he</w:t>
      </w:r>
      <w:r w:rsidR="00D052F9" w:rsidRPr="00A47AFB">
        <w:rPr>
          <w:sz w:val="23"/>
          <w:szCs w:val="23"/>
          <w:lang w:val="en-GB"/>
        </w:rPr>
        <w:t xml:space="preserve"> EU-Turkey deal does not provide substantive or procedural safeguards to ensure individual assessments of the risks of “onward </w:t>
      </w:r>
      <w:proofErr w:type="spellStart"/>
      <w:r w:rsidR="00D052F9" w:rsidRPr="00A47AFB">
        <w:rPr>
          <w:sz w:val="23"/>
          <w:szCs w:val="23"/>
          <w:lang w:val="en-GB"/>
        </w:rPr>
        <w:t>refoulement</w:t>
      </w:r>
      <w:proofErr w:type="spellEnd"/>
      <w:r w:rsidR="00D052F9" w:rsidRPr="00A47AFB">
        <w:rPr>
          <w:sz w:val="23"/>
          <w:szCs w:val="23"/>
          <w:lang w:val="en-GB"/>
        </w:rPr>
        <w:t>”, an</w:t>
      </w:r>
      <w:r w:rsidR="005330A9" w:rsidRPr="00A47AFB">
        <w:rPr>
          <w:sz w:val="23"/>
          <w:szCs w:val="23"/>
          <w:lang w:val="en-GB"/>
        </w:rPr>
        <w:t>d emplace blind trust in Turkey</w:t>
      </w:r>
      <w:r w:rsidR="00C52BAE" w:rsidRPr="00A47AFB">
        <w:rPr>
          <w:sz w:val="23"/>
          <w:szCs w:val="23"/>
          <w:lang w:val="en-GB"/>
        </w:rPr>
        <w:t xml:space="preserve">, </w:t>
      </w:r>
      <w:r w:rsidR="005330A9" w:rsidRPr="00A47AFB">
        <w:rPr>
          <w:sz w:val="23"/>
          <w:szCs w:val="23"/>
          <w:lang w:val="en-GB"/>
        </w:rPr>
        <w:t>as an STC, to undertake status determination</w:t>
      </w:r>
      <w:r w:rsidR="00DD06FD">
        <w:rPr>
          <w:sz w:val="23"/>
          <w:szCs w:val="23"/>
          <w:lang w:val="en-GB"/>
        </w:rPr>
        <w:t xml:space="preserve"> – despite Turkey’</w:t>
      </w:r>
      <w:r w:rsidR="00C52BAE" w:rsidRPr="00A47AFB">
        <w:rPr>
          <w:sz w:val="23"/>
          <w:szCs w:val="23"/>
          <w:lang w:val="en-GB"/>
        </w:rPr>
        <w:t>s record</w:t>
      </w:r>
      <w:r w:rsidR="00DD06FD">
        <w:rPr>
          <w:sz w:val="23"/>
          <w:szCs w:val="23"/>
          <w:lang w:val="en-GB"/>
        </w:rPr>
        <w:t>s</w:t>
      </w:r>
      <w:r w:rsidR="00C52BAE" w:rsidRPr="00A47AFB">
        <w:rPr>
          <w:sz w:val="23"/>
          <w:szCs w:val="23"/>
          <w:lang w:val="en-GB"/>
        </w:rPr>
        <w:t xml:space="preserve"> of refouling protection seekers from Syria</w:t>
      </w:r>
      <w:r w:rsidR="00C52BAE" w:rsidRPr="00A47AFB">
        <w:rPr>
          <w:rStyle w:val="FootnoteReference"/>
          <w:sz w:val="23"/>
          <w:szCs w:val="23"/>
          <w:lang w:val="en-GB"/>
        </w:rPr>
        <w:footnoteReference w:id="109"/>
      </w:r>
      <w:r w:rsidR="00D052F9" w:rsidRPr="00A47AFB">
        <w:rPr>
          <w:sz w:val="23"/>
          <w:szCs w:val="23"/>
          <w:lang w:val="en-GB"/>
        </w:rPr>
        <w:t>. Secondly, while the EU-Turkey deal prohibits collective expulsion - pursuant to the APD</w:t>
      </w:r>
      <w:r w:rsidR="00C52BAE" w:rsidRPr="00A47AFB">
        <w:rPr>
          <w:rStyle w:val="FootnoteReference"/>
          <w:sz w:val="23"/>
          <w:szCs w:val="23"/>
          <w:lang w:val="en-GB"/>
        </w:rPr>
        <w:footnoteReference w:id="110"/>
      </w:r>
      <w:r w:rsidR="00D052F9" w:rsidRPr="00A47AFB">
        <w:rPr>
          <w:sz w:val="23"/>
          <w:szCs w:val="23"/>
          <w:lang w:val="en-GB"/>
        </w:rPr>
        <w:t>, it does not explicitly provide effective access to procedures for irregular migrants intercepted in international waters – where the APD does not apply</w:t>
      </w:r>
      <w:r w:rsidR="00C52BAE" w:rsidRPr="00A47AFB">
        <w:rPr>
          <w:rStyle w:val="FootnoteReference"/>
          <w:sz w:val="23"/>
          <w:szCs w:val="23"/>
          <w:lang w:val="en-GB"/>
        </w:rPr>
        <w:footnoteReference w:id="111"/>
      </w:r>
      <w:r w:rsidR="00D052F9" w:rsidRPr="00A47AFB">
        <w:rPr>
          <w:sz w:val="23"/>
          <w:szCs w:val="23"/>
          <w:lang w:val="en-GB"/>
        </w:rPr>
        <w:t xml:space="preserve">. As such, </w:t>
      </w:r>
      <w:r w:rsidR="005330A9" w:rsidRPr="00A47AFB">
        <w:rPr>
          <w:sz w:val="23"/>
          <w:szCs w:val="23"/>
          <w:lang w:val="en-GB"/>
        </w:rPr>
        <w:t>irregular migrants can be legally expelled without due process of their individual claims extraterritorially, amounting to collective expulsion</w:t>
      </w:r>
      <w:r w:rsidR="00DE6D1D" w:rsidRPr="00A47AFB">
        <w:rPr>
          <w:rStyle w:val="FootnoteReference"/>
          <w:sz w:val="23"/>
          <w:szCs w:val="23"/>
          <w:lang w:val="en-GB"/>
        </w:rPr>
        <w:footnoteReference w:id="112"/>
      </w:r>
      <w:r w:rsidR="005330A9" w:rsidRPr="00A47AFB">
        <w:rPr>
          <w:sz w:val="23"/>
          <w:szCs w:val="23"/>
          <w:lang w:val="en-GB"/>
        </w:rPr>
        <w:t xml:space="preserve">. </w:t>
      </w:r>
      <w:r w:rsidRPr="00A47AFB">
        <w:rPr>
          <w:sz w:val="23"/>
          <w:szCs w:val="23"/>
          <w:lang w:val="en-GB"/>
        </w:rPr>
        <w:t xml:space="preserve">Accordingly, </w:t>
      </w:r>
      <w:r w:rsidR="00AC7B70" w:rsidRPr="00A47AFB">
        <w:rPr>
          <w:sz w:val="23"/>
          <w:szCs w:val="23"/>
          <w:lang w:val="en-GB"/>
        </w:rPr>
        <w:t xml:space="preserve">to make EU readmission practices compatible with International and European Framework, the </w:t>
      </w:r>
      <w:r w:rsidRPr="00A47AFB">
        <w:rPr>
          <w:sz w:val="23"/>
          <w:szCs w:val="23"/>
          <w:lang w:val="en-GB"/>
        </w:rPr>
        <w:t xml:space="preserve">EU </w:t>
      </w:r>
      <w:r w:rsidRPr="00A47AFB">
        <w:rPr>
          <w:sz w:val="23"/>
          <w:szCs w:val="23"/>
          <w:lang w:val="en-GB"/>
        </w:rPr>
        <w:lastRenderedPageBreak/>
        <w:t>must observe</w:t>
      </w:r>
      <w:r w:rsidR="00AC7B70" w:rsidRPr="00A47AFB">
        <w:rPr>
          <w:sz w:val="23"/>
          <w:szCs w:val="23"/>
          <w:lang w:val="en-GB"/>
        </w:rPr>
        <w:t xml:space="preserve"> the</w:t>
      </w:r>
      <w:r w:rsidRPr="00A47AFB">
        <w:rPr>
          <w:sz w:val="23"/>
          <w:szCs w:val="23"/>
          <w:lang w:val="en-GB"/>
        </w:rPr>
        <w:t xml:space="preserve"> non-</w:t>
      </w:r>
      <w:proofErr w:type="spellStart"/>
      <w:r w:rsidRPr="00A47AFB">
        <w:rPr>
          <w:sz w:val="23"/>
          <w:szCs w:val="23"/>
          <w:lang w:val="en-GB"/>
        </w:rPr>
        <w:t>refoulement</w:t>
      </w:r>
      <w:proofErr w:type="spellEnd"/>
      <w:r w:rsidRPr="00A47AFB">
        <w:rPr>
          <w:sz w:val="23"/>
          <w:szCs w:val="23"/>
          <w:lang w:val="en-GB"/>
        </w:rPr>
        <w:t xml:space="preserve"> pr</w:t>
      </w:r>
      <w:r w:rsidR="00AC7B70" w:rsidRPr="00A47AFB">
        <w:rPr>
          <w:sz w:val="23"/>
          <w:szCs w:val="23"/>
          <w:lang w:val="en-GB"/>
        </w:rPr>
        <w:t xml:space="preserve">inciple beyond national borders, </w:t>
      </w:r>
      <w:r w:rsidRPr="00A47AFB">
        <w:rPr>
          <w:sz w:val="23"/>
          <w:szCs w:val="23"/>
          <w:lang w:val="en-GB"/>
        </w:rPr>
        <w:t>and buttress its obligations to non-</w:t>
      </w:r>
      <w:proofErr w:type="spellStart"/>
      <w:r w:rsidRPr="00A47AFB">
        <w:rPr>
          <w:sz w:val="23"/>
          <w:szCs w:val="23"/>
          <w:lang w:val="en-GB"/>
        </w:rPr>
        <w:t>refoulement</w:t>
      </w:r>
      <w:proofErr w:type="spellEnd"/>
      <w:r w:rsidRPr="00A47AFB">
        <w:rPr>
          <w:sz w:val="23"/>
          <w:szCs w:val="23"/>
          <w:lang w:val="en-GB"/>
        </w:rPr>
        <w:t xml:space="preserve"> rather than circumventing them</w:t>
      </w:r>
      <w:r w:rsidRPr="00A47AFB">
        <w:rPr>
          <w:rStyle w:val="FootnoteReference"/>
          <w:sz w:val="23"/>
          <w:szCs w:val="23"/>
          <w:lang w:val="en-GB"/>
        </w:rPr>
        <w:footnoteReference w:id="113"/>
      </w:r>
      <w:r w:rsidRPr="00A47AFB">
        <w:rPr>
          <w:sz w:val="23"/>
          <w:szCs w:val="23"/>
          <w:lang w:val="en-GB"/>
        </w:rPr>
        <w:t>.</w:t>
      </w:r>
    </w:p>
    <w:p w14:paraId="6251CEA3" w14:textId="697315DE" w:rsidR="00660E6E" w:rsidRDefault="00660E6E" w:rsidP="00237749">
      <w:pPr>
        <w:spacing w:line="360" w:lineRule="auto"/>
        <w:jc w:val="both"/>
        <w:rPr>
          <w:sz w:val="23"/>
          <w:szCs w:val="23"/>
          <w:lang w:val="en-GB"/>
        </w:rPr>
      </w:pPr>
    </w:p>
    <w:p w14:paraId="7F1ADE6E" w14:textId="71A7A79D" w:rsidR="00660E6E" w:rsidRDefault="00660E6E" w:rsidP="00237749">
      <w:pPr>
        <w:spacing w:line="360" w:lineRule="auto"/>
        <w:jc w:val="both"/>
        <w:rPr>
          <w:sz w:val="23"/>
          <w:szCs w:val="23"/>
          <w:lang w:val="en-GB"/>
        </w:rPr>
      </w:pPr>
    </w:p>
    <w:p w14:paraId="47D6220E" w14:textId="2807D2E9" w:rsidR="00660E6E" w:rsidRDefault="00660E6E" w:rsidP="00237749">
      <w:pPr>
        <w:spacing w:line="360" w:lineRule="auto"/>
        <w:jc w:val="both"/>
        <w:rPr>
          <w:sz w:val="23"/>
          <w:szCs w:val="23"/>
          <w:lang w:val="en-GB"/>
        </w:rPr>
      </w:pPr>
    </w:p>
    <w:p w14:paraId="4F32F0D0" w14:textId="229B4EE6" w:rsidR="00660E6E" w:rsidRDefault="00660E6E" w:rsidP="00237749">
      <w:pPr>
        <w:spacing w:line="360" w:lineRule="auto"/>
        <w:jc w:val="both"/>
        <w:rPr>
          <w:sz w:val="23"/>
          <w:szCs w:val="23"/>
          <w:lang w:val="en-GB"/>
        </w:rPr>
      </w:pPr>
    </w:p>
    <w:p w14:paraId="3B2E8EAB" w14:textId="5C4A4436" w:rsidR="00660E6E" w:rsidRDefault="00660E6E" w:rsidP="00237749">
      <w:pPr>
        <w:spacing w:line="360" w:lineRule="auto"/>
        <w:jc w:val="both"/>
        <w:rPr>
          <w:sz w:val="23"/>
          <w:szCs w:val="23"/>
          <w:lang w:val="en-GB"/>
        </w:rPr>
      </w:pPr>
    </w:p>
    <w:p w14:paraId="2827A263" w14:textId="638C860D" w:rsidR="00660E6E" w:rsidRDefault="00660E6E" w:rsidP="00237749">
      <w:pPr>
        <w:spacing w:line="360" w:lineRule="auto"/>
        <w:jc w:val="both"/>
        <w:rPr>
          <w:sz w:val="23"/>
          <w:szCs w:val="23"/>
          <w:lang w:val="en-GB"/>
        </w:rPr>
      </w:pPr>
    </w:p>
    <w:p w14:paraId="20FF7B77" w14:textId="70C11A0F" w:rsidR="00660E6E" w:rsidRDefault="00660E6E" w:rsidP="00237749">
      <w:pPr>
        <w:spacing w:line="360" w:lineRule="auto"/>
        <w:jc w:val="both"/>
        <w:rPr>
          <w:sz w:val="23"/>
          <w:szCs w:val="23"/>
          <w:lang w:val="en-GB"/>
        </w:rPr>
      </w:pPr>
    </w:p>
    <w:p w14:paraId="3B11AEF4" w14:textId="231E5FE7" w:rsidR="00660E6E" w:rsidRDefault="00660E6E" w:rsidP="00237749">
      <w:pPr>
        <w:spacing w:line="360" w:lineRule="auto"/>
        <w:jc w:val="both"/>
        <w:rPr>
          <w:sz w:val="23"/>
          <w:szCs w:val="23"/>
          <w:lang w:val="en-GB"/>
        </w:rPr>
      </w:pPr>
    </w:p>
    <w:p w14:paraId="5F51F596" w14:textId="45A0D899" w:rsidR="00660E6E" w:rsidRDefault="00660E6E" w:rsidP="00237749">
      <w:pPr>
        <w:spacing w:line="360" w:lineRule="auto"/>
        <w:jc w:val="both"/>
        <w:rPr>
          <w:sz w:val="23"/>
          <w:szCs w:val="23"/>
          <w:lang w:val="en-GB"/>
        </w:rPr>
      </w:pPr>
    </w:p>
    <w:p w14:paraId="46A24CFC" w14:textId="7A71415D" w:rsidR="00660E6E" w:rsidRDefault="00660E6E" w:rsidP="00237749">
      <w:pPr>
        <w:spacing w:line="360" w:lineRule="auto"/>
        <w:jc w:val="both"/>
        <w:rPr>
          <w:sz w:val="23"/>
          <w:szCs w:val="23"/>
          <w:lang w:val="en-GB"/>
        </w:rPr>
      </w:pPr>
    </w:p>
    <w:p w14:paraId="65E58066" w14:textId="6CA82800" w:rsidR="00660E6E" w:rsidRDefault="00660E6E" w:rsidP="00237749">
      <w:pPr>
        <w:spacing w:line="360" w:lineRule="auto"/>
        <w:jc w:val="both"/>
        <w:rPr>
          <w:sz w:val="23"/>
          <w:szCs w:val="23"/>
          <w:lang w:val="en-GB"/>
        </w:rPr>
      </w:pPr>
    </w:p>
    <w:p w14:paraId="0A137121" w14:textId="3BB0794F" w:rsidR="00660E6E" w:rsidRDefault="00660E6E" w:rsidP="00237749">
      <w:pPr>
        <w:spacing w:line="360" w:lineRule="auto"/>
        <w:jc w:val="both"/>
        <w:rPr>
          <w:sz w:val="23"/>
          <w:szCs w:val="23"/>
          <w:lang w:val="en-GB"/>
        </w:rPr>
      </w:pPr>
    </w:p>
    <w:p w14:paraId="7C2AA4A3" w14:textId="1D95C277" w:rsidR="00660E6E" w:rsidRDefault="00660E6E" w:rsidP="00237749">
      <w:pPr>
        <w:spacing w:line="360" w:lineRule="auto"/>
        <w:jc w:val="both"/>
        <w:rPr>
          <w:sz w:val="23"/>
          <w:szCs w:val="23"/>
          <w:lang w:val="en-GB"/>
        </w:rPr>
      </w:pPr>
    </w:p>
    <w:p w14:paraId="15520AF4" w14:textId="6F02F8AF" w:rsidR="00660E6E" w:rsidRDefault="00660E6E" w:rsidP="00237749">
      <w:pPr>
        <w:spacing w:line="360" w:lineRule="auto"/>
        <w:jc w:val="both"/>
        <w:rPr>
          <w:sz w:val="23"/>
          <w:szCs w:val="23"/>
          <w:lang w:val="en-GB"/>
        </w:rPr>
      </w:pPr>
    </w:p>
    <w:p w14:paraId="600B3E38" w14:textId="395FB646" w:rsidR="00660E6E" w:rsidRDefault="00660E6E" w:rsidP="00237749">
      <w:pPr>
        <w:spacing w:line="360" w:lineRule="auto"/>
        <w:jc w:val="both"/>
        <w:rPr>
          <w:sz w:val="23"/>
          <w:szCs w:val="23"/>
          <w:lang w:val="en-GB"/>
        </w:rPr>
      </w:pPr>
    </w:p>
    <w:p w14:paraId="27E06A7B" w14:textId="3BDB2595" w:rsidR="00660E6E" w:rsidRDefault="00660E6E" w:rsidP="00237749">
      <w:pPr>
        <w:spacing w:line="360" w:lineRule="auto"/>
        <w:jc w:val="both"/>
        <w:rPr>
          <w:sz w:val="23"/>
          <w:szCs w:val="23"/>
          <w:lang w:val="en-GB"/>
        </w:rPr>
      </w:pPr>
    </w:p>
    <w:p w14:paraId="613DA902" w14:textId="4B4D3B79" w:rsidR="00660E6E" w:rsidRDefault="00660E6E" w:rsidP="00237749">
      <w:pPr>
        <w:spacing w:line="360" w:lineRule="auto"/>
        <w:jc w:val="both"/>
        <w:rPr>
          <w:sz w:val="23"/>
          <w:szCs w:val="23"/>
          <w:lang w:val="en-GB"/>
        </w:rPr>
      </w:pPr>
    </w:p>
    <w:p w14:paraId="6CEF7D60" w14:textId="4A61239D" w:rsidR="00660E6E" w:rsidRDefault="00660E6E" w:rsidP="00237749">
      <w:pPr>
        <w:spacing w:line="360" w:lineRule="auto"/>
        <w:jc w:val="both"/>
        <w:rPr>
          <w:sz w:val="23"/>
          <w:szCs w:val="23"/>
          <w:lang w:val="en-GB"/>
        </w:rPr>
      </w:pPr>
    </w:p>
    <w:p w14:paraId="0BA00A8A" w14:textId="0584EEE3" w:rsidR="00660E6E" w:rsidRDefault="00660E6E" w:rsidP="00237749">
      <w:pPr>
        <w:spacing w:line="360" w:lineRule="auto"/>
        <w:jc w:val="both"/>
        <w:rPr>
          <w:sz w:val="23"/>
          <w:szCs w:val="23"/>
          <w:lang w:val="en-GB"/>
        </w:rPr>
      </w:pPr>
    </w:p>
    <w:p w14:paraId="57CD2CE4" w14:textId="19EC317A" w:rsidR="00660E6E" w:rsidRDefault="00660E6E" w:rsidP="00237749">
      <w:pPr>
        <w:spacing w:line="360" w:lineRule="auto"/>
        <w:jc w:val="both"/>
        <w:rPr>
          <w:sz w:val="23"/>
          <w:szCs w:val="23"/>
          <w:lang w:val="en-GB"/>
        </w:rPr>
      </w:pPr>
    </w:p>
    <w:p w14:paraId="1532CC9F" w14:textId="78C85E11" w:rsidR="00660E6E" w:rsidRDefault="00660E6E" w:rsidP="00237749">
      <w:pPr>
        <w:spacing w:line="360" w:lineRule="auto"/>
        <w:jc w:val="both"/>
        <w:rPr>
          <w:sz w:val="23"/>
          <w:szCs w:val="23"/>
          <w:lang w:val="en-GB"/>
        </w:rPr>
      </w:pPr>
    </w:p>
    <w:p w14:paraId="39CDBDB1" w14:textId="7BE00BEC" w:rsidR="00660E6E" w:rsidRDefault="00660E6E" w:rsidP="00237749">
      <w:pPr>
        <w:spacing w:line="360" w:lineRule="auto"/>
        <w:jc w:val="both"/>
        <w:rPr>
          <w:sz w:val="23"/>
          <w:szCs w:val="23"/>
          <w:lang w:val="en-GB"/>
        </w:rPr>
      </w:pPr>
    </w:p>
    <w:p w14:paraId="5D364D33" w14:textId="049B654D" w:rsidR="00660E6E" w:rsidRDefault="00660E6E" w:rsidP="00237749">
      <w:pPr>
        <w:spacing w:line="360" w:lineRule="auto"/>
        <w:jc w:val="both"/>
        <w:rPr>
          <w:sz w:val="23"/>
          <w:szCs w:val="23"/>
          <w:lang w:val="en-GB"/>
        </w:rPr>
      </w:pPr>
    </w:p>
    <w:p w14:paraId="5889F1F9" w14:textId="3586D1D2" w:rsidR="00660E6E" w:rsidRDefault="00660E6E" w:rsidP="00237749">
      <w:pPr>
        <w:spacing w:line="360" w:lineRule="auto"/>
        <w:jc w:val="both"/>
        <w:rPr>
          <w:sz w:val="23"/>
          <w:szCs w:val="23"/>
          <w:lang w:val="en-GB"/>
        </w:rPr>
      </w:pPr>
    </w:p>
    <w:p w14:paraId="102C25A8" w14:textId="6E19FD75" w:rsidR="00660E6E" w:rsidRDefault="00660E6E" w:rsidP="00237749">
      <w:pPr>
        <w:spacing w:line="360" w:lineRule="auto"/>
        <w:jc w:val="both"/>
        <w:rPr>
          <w:sz w:val="23"/>
          <w:szCs w:val="23"/>
          <w:lang w:val="en-GB"/>
        </w:rPr>
      </w:pPr>
    </w:p>
    <w:p w14:paraId="64E4B70E" w14:textId="7CBE586E" w:rsidR="00660E6E" w:rsidRPr="009649B0" w:rsidRDefault="00660E6E" w:rsidP="00237749">
      <w:pPr>
        <w:spacing w:line="360" w:lineRule="auto"/>
        <w:jc w:val="both"/>
        <w:rPr>
          <w:sz w:val="23"/>
          <w:szCs w:val="23"/>
          <w:lang w:val="en-GB"/>
        </w:rPr>
      </w:pPr>
    </w:p>
    <w:p w14:paraId="24D54BC5" w14:textId="77777777" w:rsidR="006370D9" w:rsidRPr="004A0E03" w:rsidRDefault="006370D9" w:rsidP="006370D9">
      <w:pPr>
        <w:pStyle w:val="Heading1"/>
        <w:rPr>
          <w:rFonts w:ascii="Times New Roman" w:hAnsi="Times New Roman" w:cs="Times New Roman"/>
          <w:b/>
          <w:color w:val="auto"/>
          <w:sz w:val="24"/>
          <w:u w:val="single"/>
        </w:rPr>
      </w:pPr>
      <w:r w:rsidRPr="004A0E03">
        <w:rPr>
          <w:b/>
          <w:color w:val="auto"/>
          <w:u w:val="single"/>
        </w:rPr>
        <w:lastRenderedPageBreak/>
        <w:t>Bibliography</w:t>
      </w:r>
    </w:p>
    <w:p w14:paraId="25C88EAC" w14:textId="1DCC15FE" w:rsidR="006370D9" w:rsidRDefault="006370D9" w:rsidP="006370D9">
      <w:pPr>
        <w:pStyle w:val="Heading2"/>
        <w:rPr>
          <w:b/>
          <w:color w:val="auto"/>
          <w:u w:val="single"/>
        </w:rPr>
      </w:pPr>
      <w:r>
        <w:rPr>
          <w:b/>
          <w:color w:val="auto"/>
          <w:u w:val="single"/>
        </w:rPr>
        <w:t>Treaties and Legislation</w:t>
      </w:r>
      <w:r w:rsidR="00AF6191">
        <w:rPr>
          <w:b/>
          <w:color w:val="auto"/>
          <w:u w:val="single"/>
        </w:rPr>
        <w:t>s</w:t>
      </w:r>
    </w:p>
    <w:p w14:paraId="1A16289D" w14:textId="77777777" w:rsidR="006370D9" w:rsidRPr="004A0E03" w:rsidRDefault="006370D9" w:rsidP="006370D9">
      <w:pPr>
        <w:pStyle w:val="Heading3"/>
        <w:rPr>
          <w:b/>
          <w:u w:val="single"/>
        </w:rPr>
      </w:pPr>
      <w:r>
        <w:rPr>
          <w:b/>
          <w:u w:val="single"/>
        </w:rPr>
        <w:t>International</w:t>
      </w:r>
    </w:p>
    <w:p w14:paraId="5F20D77D" w14:textId="737403DB" w:rsidR="006370D9" w:rsidRDefault="006370D9" w:rsidP="006370D9">
      <w:r>
        <w:t xml:space="preserve">UN General Assembly, </w:t>
      </w:r>
      <w:r>
        <w:rPr>
          <w:i/>
          <w:iCs/>
        </w:rPr>
        <w:t>Convention Relating to the Status of Refugees</w:t>
      </w:r>
      <w:r>
        <w:t xml:space="preserve">, 28 July 1951, United Nations, Treaty Series, vol. 189, p. 137 </w:t>
      </w:r>
    </w:p>
    <w:p w14:paraId="44C4D56E" w14:textId="1BF4B4FD" w:rsidR="00AF6191" w:rsidRDefault="00AF6191" w:rsidP="006370D9"/>
    <w:p w14:paraId="15D00DE7" w14:textId="67E07736" w:rsidR="00AF6191" w:rsidRDefault="00AF6191" w:rsidP="00AF6191">
      <w:r>
        <w:t xml:space="preserve">UN General Assembly, </w:t>
      </w:r>
      <w:r>
        <w:rPr>
          <w:i/>
          <w:iCs/>
        </w:rPr>
        <w:t>Protocol Relating to the Status of Refugees</w:t>
      </w:r>
      <w:r>
        <w:t>, 31 January 1967, United Nations, Treaty Series, vol. 606, p. 267, available</w:t>
      </w:r>
    </w:p>
    <w:p w14:paraId="3BA06B7D" w14:textId="77777777" w:rsidR="006370D9" w:rsidRDefault="006370D9" w:rsidP="006370D9"/>
    <w:p w14:paraId="09F7C90E" w14:textId="6E91E27C" w:rsidR="006370D9" w:rsidRDefault="006370D9" w:rsidP="006370D9">
      <w:r w:rsidRPr="00A81223">
        <w:t>UN General Assembly, Universal Declaration of Human Rights, 10 December 1948, 217 A (III),</w:t>
      </w:r>
    </w:p>
    <w:p w14:paraId="6DAA92ED" w14:textId="77777777" w:rsidR="006370D9" w:rsidRDefault="006370D9" w:rsidP="006370D9"/>
    <w:p w14:paraId="01E8CE1E" w14:textId="79C69A32" w:rsidR="006370D9" w:rsidRDefault="006370D9" w:rsidP="006370D9">
      <w:r>
        <w:t xml:space="preserve">UN General Assembly, </w:t>
      </w:r>
      <w:r>
        <w:rPr>
          <w:i/>
          <w:iCs/>
        </w:rPr>
        <w:t>International Covenant on Civil and Political Rights</w:t>
      </w:r>
      <w:r>
        <w:t>, 16 December 1966, United Nations, Treaty Series, vol. 999, p. 171</w:t>
      </w:r>
    </w:p>
    <w:p w14:paraId="53166367" w14:textId="77777777" w:rsidR="006370D9" w:rsidRDefault="006370D9" w:rsidP="006370D9"/>
    <w:p w14:paraId="5B3818EF" w14:textId="48316054" w:rsidR="006370D9" w:rsidRDefault="006370D9" w:rsidP="006370D9">
      <w:r w:rsidRPr="00856CE4">
        <w:t>United Nations, Vienna Convention on the Law of Treaties, 23 May 1969, United Nations, Treaty Series, vol. 1155, p. 331</w:t>
      </w:r>
    </w:p>
    <w:p w14:paraId="294941D2" w14:textId="77777777" w:rsidR="006370D9" w:rsidRDefault="006370D9" w:rsidP="006370D9"/>
    <w:p w14:paraId="12215FF9" w14:textId="77777777" w:rsidR="006370D9" w:rsidRDefault="006370D9" w:rsidP="006370D9">
      <w:r>
        <w:t xml:space="preserve">UN General Assembly, </w:t>
      </w:r>
      <w:r>
        <w:rPr>
          <w:i/>
          <w:iCs/>
        </w:rPr>
        <w:t>Convention Against Torture and Other Cruel, Inhuman or Degrading Treatment or Punishment</w:t>
      </w:r>
      <w:r>
        <w:t>, 10 December 1984, United Nations, Treaty Series, vol. 1465, p. 85</w:t>
      </w:r>
    </w:p>
    <w:p w14:paraId="256B8117" w14:textId="74BD6FA5" w:rsidR="006370D9" w:rsidRDefault="006370D9" w:rsidP="006370D9">
      <w:r w:rsidRPr="001D7A47">
        <w:t>UN General Assembly, International Convention for the Protection of All Persons from Enforced D</w:t>
      </w:r>
      <w:r>
        <w:t>isappearance, 20 December 2006</w:t>
      </w:r>
    </w:p>
    <w:p w14:paraId="227103C8" w14:textId="77777777" w:rsidR="006370D9" w:rsidRDefault="006370D9" w:rsidP="006370D9"/>
    <w:p w14:paraId="28441A96" w14:textId="77777777" w:rsidR="006370D9" w:rsidRPr="004A0E03" w:rsidRDefault="006370D9" w:rsidP="006370D9">
      <w:pPr>
        <w:pStyle w:val="Heading3"/>
        <w:rPr>
          <w:b/>
          <w:u w:val="single"/>
        </w:rPr>
      </w:pPr>
      <w:r>
        <w:rPr>
          <w:b/>
          <w:u w:val="single"/>
        </w:rPr>
        <w:t>Council of Europe</w:t>
      </w:r>
    </w:p>
    <w:p w14:paraId="57BCAE0E" w14:textId="6875D79C" w:rsidR="006370D9" w:rsidRDefault="006370D9" w:rsidP="006370D9">
      <w:r>
        <w:t xml:space="preserve">Council of Europe, </w:t>
      </w:r>
      <w:r>
        <w:rPr>
          <w:i/>
          <w:iCs/>
        </w:rPr>
        <w:t>European Convention for the Protection of Human Rights and Fundamental Freedoms, as amended by Protocols Nos. 11 and 14</w:t>
      </w:r>
      <w:r>
        <w:t>, 4 November 1950, ETS 5</w:t>
      </w:r>
    </w:p>
    <w:p w14:paraId="0BDD6ED7" w14:textId="3CDEC556" w:rsidR="00AF6191" w:rsidRDefault="00AF6191" w:rsidP="006370D9"/>
    <w:p w14:paraId="49454923" w14:textId="29C3F093" w:rsidR="00AF6191" w:rsidRDefault="00AF6191" w:rsidP="006370D9">
      <w:r>
        <w:t xml:space="preserve">Council of Europe, </w:t>
      </w:r>
      <w:r>
        <w:rPr>
          <w:i/>
          <w:iCs/>
        </w:rPr>
        <w:t>Protocol 4 to the European Convention for the Protection of Human Rights and Fundamental Freedoms, securing certain Rights and Freedoms other than those already included in the Convention and in the First Protocol thereto</w:t>
      </w:r>
      <w:r>
        <w:t>, 16 September 1963, ETS 46</w:t>
      </w:r>
    </w:p>
    <w:p w14:paraId="5D9A45B5" w14:textId="77777777" w:rsidR="00655448" w:rsidRDefault="00655448" w:rsidP="006370D9"/>
    <w:p w14:paraId="7C6E2673" w14:textId="77777777" w:rsidR="006370D9" w:rsidRPr="004A0E03" w:rsidRDefault="006370D9" w:rsidP="006370D9">
      <w:pPr>
        <w:pStyle w:val="Heading3"/>
        <w:rPr>
          <w:b/>
          <w:u w:val="single"/>
        </w:rPr>
      </w:pPr>
      <w:r>
        <w:rPr>
          <w:b/>
          <w:u w:val="single"/>
        </w:rPr>
        <w:t>European Union</w:t>
      </w:r>
    </w:p>
    <w:p w14:paraId="03065E6E" w14:textId="1C5312C7" w:rsidR="00AF6191" w:rsidRDefault="00AF6191" w:rsidP="006370D9">
      <w:r w:rsidRPr="00AF6191">
        <w:t>European Union, Consolidated version of the Treaty on European Union, 13 December 2007, 2008/C 115/01,</w:t>
      </w:r>
    </w:p>
    <w:p w14:paraId="48BD4C83" w14:textId="77777777" w:rsidR="00AF6191" w:rsidRDefault="00AF6191" w:rsidP="006370D9"/>
    <w:p w14:paraId="28C6020A" w14:textId="679CBCDD" w:rsidR="006370D9" w:rsidRDefault="006370D9" w:rsidP="006370D9">
      <w:r w:rsidRPr="003C0579">
        <w:t>Consolidated Version of the Treaty on the Functioning of the European Union art. [</w:t>
      </w:r>
      <w:r>
        <w:t>79</w:t>
      </w:r>
      <w:r w:rsidRPr="003C0579">
        <w:t>]</w:t>
      </w:r>
      <w:r>
        <w:t>[3], 2008 O.J. C 115/47</w:t>
      </w:r>
    </w:p>
    <w:p w14:paraId="2E206B60" w14:textId="77777777" w:rsidR="00655448" w:rsidRDefault="00655448" w:rsidP="006370D9"/>
    <w:p w14:paraId="4F4901A3" w14:textId="6B4D842D" w:rsidR="006370D9" w:rsidRDefault="006370D9" w:rsidP="006370D9">
      <w:r>
        <w:t>European Union, Charter of Fundamental Rights of the European Union, 26 October 2012, 2012/C 326/02</w:t>
      </w:r>
    </w:p>
    <w:p w14:paraId="17D4AB0F" w14:textId="77777777" w:rsidR="00655448" w:rsidRDefault="00655448" w:rsidP="006370D9"/>
    <w:p w14:paraId="3ED0B969" w14:textId="656D2E38" w:rsidR="006370D9" w:rsidRDefault="006370D9" w:rsidP="006370D9">
      <w:r w:rsidRPr="00695F42">
        <w:rPr>
          <w:i/>
        </w:rPr>
        <w:t>Directive 2011/95/EU</w:t>
      </w:r>
      <w:r>
        <w:t xml:space="preserve">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 OJ L 337, 20.12.2011, p. 9–26</w:t>
      </w:r>
    </w:p>
    <w:p w14:paraId="28930E2F" w14:textId="77777777" w:rsidR="00655448" w:rsidRDefault="00655448" w:rsidP="006370D9"/>
    <w:p w14:paraId="6865B9E6" w14:textId="1E325D11" w:rsidR="006370D9" w:rsidRDefault="006370D9" w:rsidP="006370D9">
      <w:r w:rsidRPr="00695F42">
        <w:rPr>
          <w:i/>
        </w:rPr>
        <w:lastRenderedPageBreak/>
        <w:t>Directive 2013/32/EU</w:t>
      </w:r>
      <w:r w:rsidRPr="00695F42">
        <w:t xml:space="preserve"> of the European Parliament and of the Council of 26 June 2013 on common procedures for granting and withdrawing international protection</w:t>
      </w:r>
      <w:r>
        <w:t xml:space="preserve"> (recast), </w:t>
      </w:r>
      <w:r w:rsidRPr="00695F42">
        <w:t>OJ L 180, 29.6.2013, p. 60–95</w:t>
      </w:r>
    </w:p>
    <w:p w14:paraId="0D2926DA" w14:textId="77777777" w:rsidR="00655448" w:rsidRDefault="00655448" w:rsidP="006370D9"/>
    <w:p w14:paraId="219994B5" w14:textId="4B7E4C5B" w:rsidR="006370D9" w:rsidRDefault="006370D9" w:rsidP="006370D9">
      <w:r w:rsidRPr="00695F42">
        <w:rPr>
          <w:i/>
        </w:rPr>
        <w:t>Directive 2013/33/EU</w:t>
      </w:r>
      <w:r w:rsidRPr="00695F42">
        <w:t xml:space="preserve"> of the European Parliament and of the Council of 26 June 2013 laying down standards for the reception of applicants for international protection</w:t>
      </w:r>
      <w:r>
        <w:t xml:space="preserve"> (recast), </w:t>
      </w:r>
      <w:r w:rsidRPr="00695F42">
        <w:t>OJ L 180, 29.6.2013, p. 96–116</w:t>
      </w:r>
      <w:r w:rsidR="00655448">
        <w:br/>
      </w:r>
    </w:p>
    <w:p w14:paraId="1BEAA9AA" w14:textId="47CCBBA7" w:rsidR="006370D9" w:rsidRDefault="006370D9" w:rsidP="006370D9">
      <w:r>
        <w:t xml:space="preserve">Agreement between the European Union and the Republic of Turkey on the readmission of persons residing without </w:t>
      </w:r>
      <w:proofErr w:type="spellStart"/>
      <w:r>
        <w:t>authorisation</w:t>
      </w:r>
      <w:proofErr w:type="spellEnd"/>
      <w:r>
        <w:t>, OJ L 134, 7.5.2014, p. 3–27</w:t>
      </w:r>
    </w:p>
    <w:p w14:paraId="1447DF65" w14:textId="77777777" w:rsidR="00AF6191" w:rsidRDefault="00AF6191" w:rsidP="006370D9"/>
    <w:p w14:paraId="147BA44B" w14:textId="77777777" w:rsidR="006370D9" w:rsidRPr="00350B8A" w:rsidRDefault="006370D9" w:rsidP="006370D9">
      <w:r>
        <w:tab/>
      </w:r>
      <w:r w:rsidRPr="00350B8A">
        <w:t>European Council, 'EU-Turkey Statement, 18 March 2016' (2016)</w:t>
      </w:r>
    </w:p>
    <w:p w14:paraId="1E1CFB43" w14:textId="351490B8" w:rsidR="00DA6816" w:rsidRDefault="00DA6816" w:rsidP="00237749">
      <w:pPr>
        <w:spacing w:line="360" w:lineRule="auto"/>
        <w:jc w:val="both"/>
      </w:pPr>
    </w:p>
    <w:p w14:paraId="7100C0CD" w14:textId="0C3EBE0B" w:rsidR="00A47AFB" w:rsidRDefault="00A47AFB" w:rsidP="00237749">
      <w:pPr>
        <w:spacing w:line="360" w:lineRule="auto"/>
        <w:jc w:val="both"/>
      </w:pPr>
    </w:p>
    <w:p w14:paraId="5E0D71C1" w14:textId="207E1271" w:rsidR="00A47AFB" w:rsidRDefault="00A47AFB" w:rsidP="00237749">
      <w:pPr>
        <w:spacing w:line="360" w:lineRule="auto"/>
        <w:jc w:val="both"/>
      </w:pPr>
    </w:p>
    <w:p w14:paraId="1F963585" w14:textId="5ADE4BFE" w:rsidR="00A47AFB" w:rsidRDefault="00A47AFB" w:rsidP="00237749">
      <w:pPr>
        <w:spacing w:line="360" w:lineRule="auto"/>
        <w:jc w:val="both"/>
      </w:pPr>
    </w:p>
    <w:p w14:paraId="1D1638DA" w14:textId="2B3B7BD3" w:rsidR="00A47AFB" w:rsidRDefault="00A47AFB" w:rsidP="00237749">
      <w:pPr>
        <w:spacing w:line="360" w:lineRule="auto"/>
        <w:jc w:val="both"/>
      </w:pPr>
    </w:p>
    <w:p w14:paraId="240A15BC" w14:textId="53D8DEF6" w:rsidR="00A47AFB" w:rsidRDefault="00A47AFB" w:rsidP="00237749">
      <w:pPr>
        <w:spacing w:line="360" w:lineRule="auto"/>
        <w:jc w:val="both"/>
      </w:pPr>
    </w:p>
    <w:p w14:paraId="41EE7449" w14:textId="3E3E1170" w:rsidR="00A47AFB" w:rsidRDefault="00A47AFB" w:rsidP="00237749">
      <w:pPr>
        <w:spacing w:line="360" w:lineRule="auto"/>
        <w:jc w:val="both"/>
      </w:pPr>
    </w:p>
    <w:p w14:paraId="6E2FD764" w14:textId="11D28667" w:rsidR="00A47AFB" w:rsidRDefault="00A47AFB" w:rsidP="00237749">
      <w:pPr>
        <w:spacing w:line="360" w:lineRule="auto"/>
        <w:jc w:val="both"/>
      </w:pPr>
    </w:p>
    <w:p w14:paraId="547ACC8C" w14:textId="193B0C51" w:rsidR="00A47AFB" w:rsidRDefault="00A47AFB" w:rsidP="00237749">
      <w:pPr>
        <w:spacing w:line="360" w:lineRule="auto"/>
        <w:jc w:val="both"/>
      </w:pPr>
    </w:p>
    <w:p w14:paraId="09543142" w14:textId="1F559E6B" w:rsidR="00A47AFB" w:rsidRDefault="00A47AFB" w:rsidP="00237749">
      <w:pPr>
        <w:spacing w:line="360" w:lineRule="auto"/>
        <w:jc w:val="both"/>
      </w:pPr>
    </w:p>
    <w:p w14:paraId="32AB3322" w14:textId="647B9CD5" w:rsidR="00A47AFB" w:rsidRDefault="00A47AFB" w:rsidP="00237749">
      <w:pPr>
        <w:spacing w:line="360" w:lineRule="auto"/>
        <w:jc w:val="both"/>
      </w:pPr>
    </w:p>
    <w:p w14:paraId="753C7AE1" w14:textId="3C6B6ED3" w:rsidR="00A47AFB" w:rsidRDefault="00A47AFB" w:rsidP="00237749">
      <w:pPr>
        <w:spacing w:line="360" w:lineRule="auto"/>
        <w:jc w:val="both"/>
      </w:pPr>
    </w:p>
    <w:p w14:paraId="00875EB0" w14:textId="6918C4BD" w:rsidR="00A47AFB" w:rsidRDefault="00A47AFB" w:rsidP="00237749">
      <w:pPr>
        <w:spacing w:line="360" w:lineRule="auto"/>
        <w:jc w:val="both"/>
      </w:pPr>
    </w:p>
    <w:p w14:paraId="76407EEB" w14:textId="355A506D" w:rsidR="00A47AFB" w:rsidRDefault="00A47AFB" w:rsidP="00237749">
      <w:pPr>
        <w:spacing w:line="360" w:lineRule="auto"/>
        <w:jc w:val="both"/>
      </w:pPr>
    </w:p>
    <w:p w14:paraId="64CC2702" w14:textId="384EBCAA" w:rsidR="00A47AFB" w:rsidRDefault="00A47AFB" w:rsidP="00237749">
      <w:pPr>
        <w:spacing w:line="360" w:lineRule="auto"/>
        <w:jc w:val="both"/>
      </w:pPr>
    </w:p>
    <w:p w14:paraId="3FA887EB" w14:textId="760FE183" w:rsidR="00A47AFB" w:rsidRDefault="00A47AFB" w:rsidP="00237749">
      <w:pPr>
        <w:spacing w:line="360" w:lineRule="auto"/>
        <w:jc w:val="both"/>
      </w:pPr>
    </w:p>
    <w:p w14:paraId="5A4B5101" w14:textId="30727226" w:rsidR="00A47AFB" w:rsidRDefault="00A47AFB" w:rsidP="00237749">
      <w:pPr>
        <w:spacing w:line="360" w:lineRule="auto"/>
        <w:jc w:val="both"/>
      </w:pPr>
    </w:p>
    <w:p w14:paraId="3191E3BD" w14:textId="2194CE52" w:rsidR="00A47AFB" w:rsidRDefault="00A47AFB" w:rsidP="00237749">
      <w:pPr>
        <w:spacing w:line="360" w:lineRule="auto"/>
        <w:jc w:val="both"/>
      </w:pPr>
    </w:p>
    <w:p w14:paraId="64BBEF83" w14:textId="3753985F" w:rsidR="00A47AFB" w:rsidRDefault="00A47AFB" w:rsidP="00237749">
      <w:pPr>
        <w:spacing w:line="360" w:lineRule="auto"/>
        <w:jc w:val="both"/>
      </w:pPr>
    </w:p>
    <w:p w14:paraId="1D094F67" w14:textId="26EC7633" w:rsidR="00A47AFB" w:rsidRDefault="00A47AFB" w:rsidP="00237749">
      <w:pPr>
        <w:spacing w:line="360" w:lineRule="auto"/>
        <w:jc w:val="both"/>
      </w:pPr>
    </w:p>
    <w:p w14:paraId="587F4357" w14:textId="387026CD" w:rsidR="00A47AFB" w:rsidRDefault="00A47AFB" w:rsidP="00237749">
      <w:pPr>
        <w:spacing w:line="360" w:lineRule="auto"/>
        <w:jc w:val="both"/>
      </w:pPr>
    </w:p>
    <w:p w14:paraId="418D5B11" w14:textId="4C40AEF8" w:rsidR="00A47AFB" w:rsidRDefault="00A47AFB" w:rsidP="00237749">
      <w:pPr>
        <w:spacing w:line="360" w:lineRule="auto"/>
        <w:jc w:val="both"/>
      </w:pPr>
    </w:p>
    <w:p w14:paraId="68853C54" w14:textId="53911BC1" w:rsidR="00A47AFB" w:rsidRDefault="00A47AFB" w:rsidP="00237749">
      <w:pPr>
        <w:spacing w:line="360" w:lineRule="auto"/>
        <w:jc w:val="both"/>
      </w:pPr>
    </w:p>
    <w:p w14:paraId="00E2AFA2" w14:textId="41BB4D30" w:rsidR="00A47AFB" w:rsidRDefault="00A47AFB" w:rsidP="00237749">
      <w:pPr>
        <w:spacing w:line="360" w:lineRule="auto"/>
        <w:jc w:val="both"/>
      </w:pPr>
    </w:p>
    <w:p w14:paraId="498D000B" w14:textId="5C80C6A2" w:rsidR="00A47AFB" w:rsidRDefault="00A47AFB" w:rsidP="00237749">
      <w:pPr>
        <w:spacing w:line="360" w:lineRule="auto"/>
        <w:jc w:val="both"/>
      </w:pPr>
    </w:p>
    <w:p w14:paraId="60E4D7DB" w14:textId="27ED91C3" w:rsidR="00A47AFB" w:rsidRDefault="00A47AFB" w:rsidP="00237749">
      <w:pPr>
        <w:spacing w:line="360" w:lineRule="auto"/>
        <w:jc w:val="both"/>
      </w:pPr>
    </w:p>
    <w:p w14:paraId="31A1C835" w14:textId="0DDFE70F" w:rsidR="00AF6191" w:rsidRDefault="00AF6191" w:rsidP="00AF6191">
      <w:pPr>
        <w:pStyle w:val="Heading2"/>
        <w:rPr>
          <w:b/>
          <w:color w:val="auto"/>
          <w:u w:val="single"/>
        </w:rPr>
      </w:pPr>
      <w:r>
        <w:rPr>
          <w:b/>
          <w:color w:val="auto"/>
          <w:u w:val="single"/>
        </w:rPr>
        <w:lastRenderedPageBreak/>
        <w:t>Cases</w:t>
      </w:r>
    </w:p>
    <w:p w14:paraId="6CA8664F" w14:textId="77777777" w:rsidR="00AF6191" w:rsidRDefault="00AF6191" w:rsidP="00AF6191">
      <w:pPr>
        <w:spacing w:after="336" w:line="360" w:lineRule="auto"/>
        <w:ind w:left="456" w:hanging="456"/>
      </w:pPr>
      <w:r>
        <w:rPr>
          <w:i/>
        </w:rPr>
        <w:t>Al-</w:t>
      </w:r>
      <w:proofErr w:type="spellStart"/>
      <w:r>
        <w:rPr>
          <w:i/>
        </w:rPr>
        <w:t>Skeini</w:t>
      </w:r>
      <w:proofErr w:type="spellEnd"/>
      <w:r>
        <w:rPr>
          <w:i/>
        </w:rPr>
        <w:t xml:space="preserve"> and Others v The United Kingdom</w:t>
      </w:r>
      <w:r>
        <w:t xml:space="preserve"> [2011] The European Court of Human Rights, Application no. 55721/07 (The European Court of Human Rights)</w:t>
      </w:r>
    </w:p>
    <w:p w14:paraId="1369D698" w14:textId="77777777" w:rsidR="00AF6191" w:rsidRDefault="00AF6191" w:rsidP="00AF6191">
      <w:pPr>
        <w:spacing w:after="336" w:line="360" w:lineRule="auto"/>
        <w:ind w:left="456" w:hanging="456"/>
      </w:pPr>
      <w:proofErr w:type="spellStart"/>
      <w:r>
        <w:rPr>
          <w:i/>
        </w:rPr>
        <w:t>Bankovic</w:t>
      </w:r>
      <w:proofErr w:type="spellEnd"/>
      <w:r>
        <w:rPr>
          <w:i/>
        </w:rPr>
        <w:t xml:space="preserve"> and Others v Belgium and Others</w:t>
      </w:r>
      <w:r>
        <w:t xml:space="preserve"> [2001] European Court of Human Rights, Application no. 52207/99 (European Court of Human Rights)</w:t>
      </w:r>
    </w:p>
    <w:p w14:paraId="5E5A3C4A" w14:textId="77777777" w:rsidR="00AF6191" w:rsidRDefault="00AF6191" w:rsidP="00AF6191">
      <w:pPr>
        <w:spacing w:after="336" w:line="360" w:lineRule="auto"/>
        <w:ind w:left="456" w:hanging="456"/>
      </w:pPr>
      <w:r>
        <w:rPr>
          <w:i/>
        </w:rPr>
        <w:t xml:space="preserve">Cruz </w:t>
      </w:r>
      <w:proofErr w:type="spellStart"/>
      <w:r>
        <w:rPr>
          <w:i/>
        </w:rPr>
        <w:t>Varas</w:t>
      </w:r>
      <w:proofErr w:type="spellEnd"/>
      <w:r>
        <w:rPr>
          <w:i/>
        </w:rPr>
        <w:t xml:space="preserve"> and Others v Sweden</w:t>
      </w:r>
      <w:r>
        <w:t xml:space="preserve"> [1991] European Court of Human Rights, 46/1990/237/307 (European Court of Human Rights)</w:t>
      </w:r>
    </w:p>
    <w:p w14:paraId="46C7D021" w14:textId="77777777" w:rsidR="00AF6191" w:rsidRDefault="00AF6191" w:rsidP="00AF6191">
      <w:pPr>
        <w:spacing w:after="336" w:line="360" w:lineRule="auto"/>
        <w:ind w:left="456" w:hanging="456"/>
      </w:pPr>
      <w:r>
        <w:rPr>
          <w:i/>
        </w:rPr>
        <w:t xml:space="preserve">Hirsi </w:t>
      </w:r>
      <w:proofErr w:type="spellStart"/>
      <w:r>
        <w:rPr>
          <w:i/>
        </w:rPr>
        <w:t>Jamaa</w:t>
      </w:r>
      <w:proofErr w:type="spellEnd"/>
      <w:r>
        <w:rPr>
          <w:i/>
        </w:rPr>
        <w:t xml:space="preserve"> and Others v Italy</w:t>
      </w:r>
      <w:r>
        <w:t xml:space="preserve"> [2012] European Court of Human Rights, Application no. 27765/09 (European Court of Human Rights)</w:t>
      </w:r>
    </w:p>
    <w:p w14:paraId="7A885561" w14:textId="77777777" w:rsidR="00AF6191" w:rsidRDefault="00AF6191" w:rsidP="00AF6191">
      <w:pPr>
        <w:spacing w:after="336" w:line="360" w:lineRule="auto"/>
        <w:ind w:left="456" w:hanging="456"/>
      </w:pPr>
      <w:r>
        <w:rPr>
          <w:i/>
        </w:rPr>
        <w:t>KRS v United Kingdom</w:t>
      </w:r>
      <w:r>
        <w:t xml:space="preserve"> [2008] European Court of Human Rights, Application no. 32733/08 (European Court of Human Rights)</w:t>
      </w:r>
    </w:p>
    <w:p w14:paraId="5B4070CF" w14:textId="77777777" w:rsidR="00AF6191" w:rsidRDefault="00AF6191" w:rsidP="00AF6191">
      <w:pPr>
        <w:spacing w:after="336" w:line="360" w:lineRule="auto"/>
        <w:ind w:left="456" w:hanging="456"/>
      </w:pPr>
      <w:r>
        <w:rPr>
          <w:i/>
        </w:rPr>
        <w:t>MSS v Belgium and Greece</w:t>
      </w:r>
      <w:r>
        <w:t xml:space="preserve"> [2011] European Court of Human Rights, Application no. 30696/09 (European Court of Human Rights)</w:t>
      </w:r>
    </w:p>
    <w:p w14:paraId="523497BB" w14:textId="77777777" w:rsidR="00AF6191" w:rsidRDefault="00AF6191" w:rsidP="00AF6191">
      <w:pPr>
        <w:spacing w:after="336" w:line="360" w:lineRule="auto"/>
        <w:ind w:left="456" w:hanging="456"/>
      </w:pPr>
      <w:proofErr w:type="spellStart"/>
      <w:r>
        <w:rPr>
          <w:i/>
        </w:rPr>
        <w:t>Saadi</w:t>
      </w:r>
      <w:proofErr w:type="spellEnd"/>
      <w:r>
        <w:rPr>
          <w:i/>
        </w:rPr>
        <w:t xml:space="preserve"> v Italy</w:t>
      </w:r>
      <w:r>
        <w:t xml:space="preserve"> [2008] European Court of Human Rights (ECHR); Grand Chamber, Appl. No. 37201/06 (European Court of Human Rights (ECHR); Grand Chamber)</w:t>
      </w:r>
    </w:p>
    <w:p w14:paraId="46ADB54E" w14:textId="77777777" w:rsidR="00AF6191" w:rsidRDefault="00AF6191" w:rsidP="00AF6191">
      <w:pPr>
        <w:spacing w:after="336" w:line="360" w:lineRule="auto"/>
        <w:ind w:left="456" w:hanging="456"/>
      </w:pPr>
      <w:proofErr w:type="spellStart"/>
      <w:r>
        <w:rPr>
          <w:i/>
        </w:rPr>
        <w:t>Soering</w:t>
      </w:r>
      <w:proofErr w:type="spellEnd"/>
      <w:r>
        <w:rPr>
          <w:i/>
        </w:rPr>
        <w:t xml:space="preserve"> v The United Kingdom</w:t>
      </w:r>
      <w:r>
        <w:t xml:space="preserve"> [1989] Council of Europe: European Court of Human Rights, 1/1989/161/217 (Council of Europe: European Court of Human Rights)</w:t>
      </w:r>
    </w:p>
    <w:p w14:paraId="1111390C" w14:textId="6B56DEAF" w:rsidR="00AF6191" w:rsidRDefault="00AF6191" w:rsidP="00AF6191">
      <w:pPr>
        <w:spacing w:after="336" w:line="360" w:lineRule="auto"/>
        <w:ind w:left="456" w:hanging="456"/>
      </w:pPr>
      <w:r>
        <w:rPr>
          <w:i/>
        </w:rPr>
        <w:t>TI v The United Kingdom</w:t>
      </w:r>
      <w:r>
        <w:t xml:space="preserve"> [2000] European Court of Human Rights, Appl. No. 43844/98 (European Court of Human Rights)</w:t>
      </w:r>
    </w:p>
    <w:p w14:paraId="7EA9D715" w14:textId="26FD209F" w:rsidR="00A47AFB" w:rsidRDefault="00A47AFB" w:rsidP="00AF6191">
      <w:pPr>
        <w:spacing w:after="336" w:line="360" w:lineRule="auto"/>
        <w:ind w:left="456" w:hanging="456"/>
      </w:pPr>
    </w:p>
    <w:p w14:paraId="57D92C8E" w14:textId="5183E630" w:rsidR="00A47AFB" w:rsidRDefault="00A47AFB" w:rsidP="00AF6191">
      <w:pPr>
        <w:spacing w:after="336" w:line="360" w:lineRule="auto"/>
        <w:ind w:left="456" w:hanging="456"/>
      </w:pPr>
    </w:p>
    <w:p w14:paraId="4C229DB2" w14:textId="77777777" w:rsidR="00A47AFB" w:rsidRDefault="00A47AFB" w:rsidP="00AF6191">
      <w:pPr>
        <w:spacing w:after="336" w:line="360" w:lineRule="auto"/>
        <w:ind w:left="456" w:hanging="456"/>
      </w:pPr>
    </w:p>
    <w:p w14:paraId="20E1497E" w14:textId="3B34EBA6" w:rsidR="00AF6191" w:rsidRPr="00AF6191" w:rsidRDefault="00AF6191" w:rsidP="00AF6191">
      <w:pPr>
        <w:pStyle w:val="Heading2"/>
        <w:rPr>
          <w:b/>
          <w:color w:val="auto"/>
          <w:u w:val="single"/>
        </w:rPr>
      </w:pPr>
      <w:r>
        <w:rPr>
          <w:b/>
          <w:color w:val="auto"/>
          <w:u w:val="single"/>
        </w:rPr>
        <w:lastRenderedPageBreak/>
        <w:t>Literature</w:t>
      </w:r>
    </w:p>
    <w:p w14:paraId="4EADDD00" w14:textId="77777777" w:rsidR="00AF6191" w:rsidRDefault="00AF6191" w:rsidP="00AF6191">
      <w:pPr>
        <w:spacing w:after="336" w:line="360" w:lineRule="auto"/>
        <w:ind w:left="456" w:hanging="456"/>
      </w:pPr>
      <w:r>
        <w:t>AIDA, 'Country Report: Turkey' (2015) &lt;http://www.asylumineurope.org/sites/default/files/report-download/aida_tr_update.i.pdf&gt; accessed 4 April 2017</w:t>
      </w:r>
    </w:p>
    <w:p w14:paraId="7F042DDA" w14:textId="77777777" w:rsidR="00AF6191" w:rsidRDefault="00AF6191" w:rsidP="00AF6191">
      <w:pPr>
        <w:spacing w:after="336" w:line="360" w:lineRule="auto"/>
        <w:ind w:left="456" w:hanging="456"/>
      </w:pPr>
      <w:proofErr w:type="spellStart"/>
      <w:r>
        <w:t>Apap</w:t>
      </w:r>
      <w:proofErr w:type="spellEnd"/>
      <w:r>
        <w:t xml:space="preserve"> J, Carrera S and </w:t>
      </w:r>
      <w:proofErr w:type="spellStart"/>
      <w:r>
        <w:t>Kirisci</w:t>
      </w:r>
      <w:proofErr w:type="spellEnd"/>
      <w:r>
        <w:t xml:space="preserve"> K, 'Turkey </w:t>
      </w:r>
      <w:proofErr w:type="gramStart"/>
      <w:r>
        <w:t>In</w:t>
      </w:r>
      <w:proofErr w:type="gramEnd"/>
      <w:r>
        <w:t xml:space="preserve"> The EU Area Of Freedom, Security And Justice' (2004) &lt;http://aei.pitt.edu/6763/&gt; accessed 4 March 2017</w:t>
      </w:r>
    </w:p>
    <w:p w14:paraId="5E5FF0C4" w14:textId="77777777" w:rsidR="00AF6191" w:rsidRDefault="00AF6191" w:rsidP="00AF6191">
      <w:pPr>
        <w:spacing w:after="336" w:line="360" w:lineRule="auto"/>
        <w:ind w:left="456" w:hanging="456"/>
      </w:pPr>
      <w:proofErr w:type="spellStart"/>
      <w:r>
        <w:t>Baldaccini</w:t>
      </w:r>
      <w:proofErr w:type="spellEnd"/>
      <w:r>
        <w:t xml:space="preserve"> A, 'The Return </w:t>
      </w:r>
      <w:proofErr w:type="gramStart"/>
      <w:r>
        <w:t>And</w:t>
      </w:r>
      <w:proofErr w:type="gramEnd"/>
      <w:r>
        <w:t xml:space="preserve"> Removal Of Irregular Migrants Under EU Law: An Analysis Of The Return Directive' (2009) 11 European Journal Immigration and Law</w:t>
      </w:r>
    </w:p>
    <w:p w14:paraId="21A470B0" w14:textId="77777777" w:rsidR="00AF6191" w:rsidRDefault="00AF6191" w:rsidP="00AF6191">
      <w:pPr>
        <w:spacing w:after="336" w:line="360" w:lineRule="auto"/>
        <w:ind w:left="456" w:hanging="456"/>
      </w:pPr>
      <w:r>
        <w:t xml:space="preserve">Billet C, 'EC Readmission Agreements: A Prime Instrument </w:t>
      </w:r>
      <w:proofErr w:type="gramStart"/>
      <w:r>
        <w:t>Of</w:t>
      </w:r>
      <w:proofErr w:type="gramEnd"/>
      <w:r>
        <w:t xml:space="preserve"> The External Dimension Of The EU's Fight Against Irregular Immigration. An Assessment After Ten Years </w:t>
      </w:r>
      <w:proofErr w:type="gramStart"/>
      <w:r>
        <w:t>Of</w:t>
      </w:r>
      <w:proofErr w:type="gramEnd"/>
      <w:r>
        <w:t xml:space="preserve"> Practice' (2010) 12 European Journal of Migration and Law</w:t>
      </w:r>
    </w:p>
    <w:p w14:paraId="27BB565C" w14:textId="77777777" w:rsidR="00AF6191" w:rsidRDefault="00AF6191" w:rsidP="00AF6191">
      <w:pPr>
        <w:spacing w:after="336" w:line="360" w:lineRule="auto"/>
        <w:ind w:left="456" w:hanging="456"/>
      </w:pPr>
      <w:proofErr w:type="spellStart"/>
      <w:r>
        <w:t>Bouteillet</w:t>
      </w:r>
      <w:proofErr w:type="spellEnd"/>
      <w:r>
        <w:t xml:space="preserve">-Paquet D, 'Passing </w:t>
      </w:r>
      <w:proofErr w:type="gramStart"/>
      <w:r>
        <w:t>The</w:t>
      </w:r>
      <w:proofErr w:type="gramEnd"/>
      <w:r>
        <w:t xml:space="preserve"> Buck: A Critical Analysis Of The Readmission Policy Implemented By The European Union And Its Member States' (2003) 5 European Journal of Migration and Law</w:t>
      </w:r>
    </w:p>
    <w:p w14:paraId="58ECD57F" w14:textId="77777777" w:rsidR="00AF6191" w:rsidRDefault="00AF6191" w:rsidP="00AF6191">
      <w:pPr>
        <w:spacing w:after="336" w:line="360" w:lineRule="auto"/>
        <w:ind w:left="456" w:hanging="456"/>
      </w:pPr>
      <w:r>
        <w:t xml:space="preserve">Boyle A and </w:t>
      </w:r>
      <w:proofErr w:type="spellStart"/>
      <w:r>
        <w:t>Chinkin</w:t>
      </w:r>
      <w:proofErr w:type="spellEnd"/>
      <w:r>
        <w:t xml:space="preserve"> C, </w:t>
      </w:r>
      <w:r>
        <w:rPr>
          <w:i/>
        </w:rPr>
        <w:t xml:space="preserve">The Making </w:t>
      </w:r>
      <w:proofErr w:type="gramStart"/>
      <w:r>
        <w:rPr>
          <w:i/>
        </w:rPr>
        <w:t>Of</w:t>
      </w:r>
      <w:proofErr w:type="gramEnd"/>
      <w:r>
        <w:rPr>
          <w:i/>
        </w:rPr>
        <w:t xml:space="preserve"> International Law</w:t>
      </w:r>
      <w:r>
        <w:t xml:space="preserve"> (1st </w:t>
      </w:r>
      <w:proofErr w:type="spellStart"/>
      <w:r>
        <w:t>edn</w:t>
      </w:r>
      <w:proofErr w:type="spellEnd"/>
      <w:r>
        <w:t>, Oxford University Press 2007)</w:t>
      </w:r>
    </w:p>
    <w:p w14:paraId="10C74D52" w14:textId="77777777" w:rsidR="00AF6191" w:rsidRDefault="00AF6191" w:rsidP="00AF6191">
      <w:pPr>
        <w:spacing w:after="336" w:line="360" w:lineRule="auto"/>
        <w:ind w:left="456" w:hanging="456"/>
      </w:pPr>
      <w:proofErr w:type="spellStart"/>
      <w:r>
        <w:t>Cassarino</w:t>
      </w:r>
      <w:proofErr w:type="spellEnd"/>
      <w:r>
        <w:t xml:space="preserve"> J, 'Readmission Policy </w:t>
      </w:r>
      <w:proofErr w:type="gramStart"/>
      <w:r>
        <w:t>In</w:t>
      </w:r>
      <w:proofErr w:type="gramEnd"/>
      <w:r>
        <w:t xml:space="preserve"> The European Union' (European Parliament 2010)</w:t>
      </w:r>
    </w:p>
    <w:p w14:paraId="48EDF0A5" w14:textId="77777777" w:rsidR="00AF6191" w:rsidRDefault="00AF6191" w:rsidP="00AF6191">
      <w:pPr>
        <w:spacing w:after="336" w:line="360" w:lineRule="auto"/>
        <w:ind w:left="456" w:hanging="456"/>
      </w:pPr>
      <w:proofErr w:type="spellStart"/>
      <w:r>
        <w:t>Chetail</w:t>
      </w:r>
      <w:proofErr w:type="spellEnd"/>
      <w:r>
        <w:t xml:space="preserve"> V, 'Freedom </w:t>
      </w:r>
      <w:proofErr w:type="gramStart"/>
      <w:r>
        <w:t>Of</w:t>
      </w:r>
      <w:proofErr w:type="gramEnd"/>
      <w:r>
        <w:t xml:space="preserve"> Movement And Transnational Migrations: A Human Rights Perspective', </w:t>
      </w:r>
      <w:r>
        <w:rPr>
          <w:i/>
        </w:rPr>
        <w:t>Migration and International Legal Norms</w:t>
      </w:r>
      <w:r>
        <w:t xml:space="preserve"> (1st </w:t>
      </w:r>
      <w:proofErr w:type="spellStart"/>
      <w:r>
        <w:t>edn</w:t>
      </w:r>
      <w:proofErr w:type="spellEnd"/>
      <w:r>
        <w:t>, TMC Asser Press 2003)</w:t>
      </w:r>
    </w:p>
    <w:p w14:paraId="6B35CA12" w14:textId="77777777" w:rsidR="00AF6191" w:rsidRDefault="00AF6191" w:rsidP="00AF6191">
      <w:pPr>
        <w:spacing w:after="336" w:line="360" w:lineRule="auto"/>
        <w:ind w:left="456" w:hanging="456"/>
      </w:pPr>
      <w:r>
        <w:t xml:space="preserve">Coleman N, </w:t>
      </w:r>
      <w:r>
        <w:rPr>
          <w:i/>
        </w:rPr>
        <w:t xml:space="preserve">European Readmission Policy: Third Country Interests </w:t>
      </w:r>
      <w:proofErr w:type="gramStart"/>
      <w:r>
        <w:rPr>
          <w:i/>
        </w:rPr>
        <w:t>And</w:t>
      </w:r>
      <w:proofErr w:type="gramEnd"/>
      <w:r>
        <w:rPr>
          <w:i/>
        </w:rPr>
        <w:t xml:space="preserve"> Refugee Rights</w:t>
      </w:r>
      <w:r>
        <w:t xml:space="preserve"> (1st </w:t>
      </w:r>
      <w:proofErr w:type="spellStart"/>
      <w:r>
        <w:t>edn</w:t>
      </w:r>
      <w:proofErr w:type="spellEnd"/>
      <w:r>
        <w:t xml:space="preserve">, </w:t>
      </w:r>
      <w:proofErr w:type="spellStart"/>
      <w:r>
        <w:t>Martinus</w:t>
      </w:r>
      <w:proofErr w:type="spellEnd"/>
      <w:r>
        <w:t xml:space="preserve"> </w:t>
      </w:r>
      <w:proofErr w:type="spellStart"/>
      <w:r>
        <w:t>Nijhoff</w:t>
      </w:r>
      <w:proofErr w:type="spellEnd"/>
      <w:r>
        <w:t xml:space="preserve"> Publishers, 2009)</w:t>
      </w:r>
    </w:p>
    <w:p w14:paraId="09961678" w14:textId="77777777" w:rsidR="00AF6191" w:rsidRDefault="00AF6191" w:rsidP="00AF6191">
      <w:pPr>
        <w:spacing w:after="336" w:line="360" w:lineRule="auto"/>
        <w:ind w:left="456" w:hanging="456"/>
      </w:pPr>
      <w:r>
        <w:t xml:space="preserve">Collette E, 'The Paradox </w:t>
      </w:r>
      <w:proofErr w:type="gramStart"/>
      <w:r>
        <w:t>Of</w:t>
      </w:r>
      <w:proofErr w:type="gramEnd"/>
      <w:r>
        <w:t xml:space="preserve"> The EU-Turkey Refugee Deal' (</w:t>
      </w:r>
      <w:r>
        <w:rPr>
          <w:i/>
        </w:rPr>
        <w:t>migrationpolicy.org</w:t>
      </w:r>
      <w:r>
        <w:t>, 2016) &lt;http://www.migrationpolicy.org/news/paradox-eu-turkey-refugee-deal&gt; accessed 8 April 2017</w:t>
      </w:r>
    </w:p>
    <w:p w14:paraId="5DE8ABDE" w14:textId="77777777" w:rsidR="00AF6191" w:rsidRDefault="00AF6191" w:rsidP="00AF6191">
      <w:pPr>
        <w:spacing w:after="336" w:line="360" w:lineRule="auto"/>
        <w:ind w:left="456" w:hanging="456"/>
      </w:pPr>
      <w:proofErr w:type="spellStart"/>
      <w:r>
        <w:lastRenderedPageBreak/>
        <w:t>Cosse</w:t>
      </w:r>
      <w:proofErr w:type="spellEnd"/>
      <w:r>
        <w:t xml:space="preserve"> E, 'The Unfairness </w:t>
      </w:r>
      <w:proofErr w:type="gramStart"/>
      <w:r>
        <w:t>Of</w:t>
      </w:r>
      <w:proofErr w:type="gramEnd"/>
      <w:r>
        <w:t xml:space="preserve"> Forcing Refugees In Greece Back To Turkey' (</w:t>
      </w:r>
      <w:r>
        <w:rPr>
          <w:i/>
        </w:rPr>
        <w:t>Human Rights Watch</w:t>
      </w:r>
      <w:r>
        <w:t>, 2017) &lt;https://www.hrw.org/news/2017/02/27/unfairness-forcing-refugees-greece-back-turkey&gt; accessed 1 April 2017</w:t>
      </w:r>
    </w:p>
    <w:p w14:paraId="42165F48" w14:textId="77777777" w:rsidR="00AF6191" w:rsidRDefault="00AF6191" w:rsidP="00AF6191">
      <w:pPr>
        <w:spacing w:after="336" w:line="360" w:lineRule="auto"/>
        <w:ind w:left="456" w:hanging="456"/>
      </w:pPr>
      <w:r>
        <w:t xml:space="preserve">Costello C, 'Courting Access </w:t>
      </w:r>
      <w:proofErr w:type="gramStart"/>
      <w:r>
        <w:t>To</w:t>
      </w:r>
      <w:proofErr w:type="gramEnd"/>
      <w:r>
        <w:t xml:space="preserve"> Asylum In Europe: Recent Supranational Jurisprudence Explored' (2012) 12 Human Rights Law Review</w:t>
      </w:r>
    </w:p>
    <w:p w14:paraId="6F521BC1" w14:textId="77777777" w:rsidR="00AF6191" w:rsidRDefault="00AF6191" w:rsidP="00AF6191">
      <w:pPr>
        <w:spacing w:after="336" w:line="360" w:lineRule="auto"/>
        <w:ind w:left="456" w:hanging="456"/>
      </w:pPr>
      <w:r>
        <w:t xml:space="preserve">De Boer T, 'Closing Legal Black Holes: The Role </w:t>
      </w:r>
      <w:proofErr w:type="gramStart"/>
      <w:r>
        <w:t>Of</w:t>
      </w:r>
      <w:proofErr w:type="gramEnd"/>
      <w:r>
        <w:t xml:space="preserve"> Extraterritorial Jurisdiction In Refugee Rights Protection' (2014) 28 Journal of Refugee Studies</w:t>
      </w:r>
    </w:p>
    <w:p w14:paraId="3BFFA9B5" w14:textId="77777777" w:rsidR="00AF6191" w:rsidRDefault="00AF6191" w:rsidP="00AF6191">
      <w:pPr>
        <w:spacing w:after="336" w:line="360" w:lineRule="auto"/>
        <w:ind w:left="456" w:hanging="456"/>
      </w:pPr>
      <w:r>
        <w:t xml:space="preserve">Den </w:t>
      </w:r>
      <w:proofErr w:type="spellStart"/>
      <w:r>
        <w:t>Heijer</w:t>
      </w:r>
      <w:proofErr w:type="spellEnd"/>
      <w:r>
        <w:t xml:space="preserve"> M, 'Is The EU-Turkey Refugee </w:t>
      </w:r>
      <w:proofErr w:type="gramStart"/>
      <w:r>
        <w:t>And</w:t>
      </w:r>
      <w:proofErr w:type="gramEnd"/>
      <w:r>
        <w:t xml:space="preserve"> Migration Deal A Treaty' &lt;http://eulawanalysis.blogspot.co.uk/2016/04/is-eu-turkey-refugee-and-migration-deal.html&gt; accessed 4 April 2017</w:t>
      </w:r>
    </w:p>
    <w:p w14:paraId="5A1E627D" w14:textId="64687133" w:rsidR="00AF6191" w:rsidRDefault="00AF6191" w:rsidP="00AF6191">
      <w:pPr>
        <w:spacing w:after="336" w:line="360" w:lineRule="auto"/>
        <w:ind w:left="456" w:hanging="456"/>
      </w:pPr>
      <w:r>
        <w:t xml:space="preserve">Den </w:t>
      </w:r>
      <w:proofErr w:type="spellStart"/>
      <w:r>
        <w:t>Heijer</w:t>
      </w:r>
      <w:proofErr w:type="spellEnd"/>
      <w:r>
        <w:t xml:space="preserve"> M, 'Reflections </w:t>
      </w:r>
      <w:proofErr w:type="gramStart"/>
      <w:r>
        <w:t>On</w:t>
      </w:r>
      <w:proofErr w:type="gramEnd"/>
      <w:r>
        <w:t xml:space="preserve"> </w:t>
      </w:r>
      <w:proofErr w:type="spellStart"/>
      <w:r>
        <w:t>Refoulement</w:t>
      </w:r>
      <w:proofErr w:type="spellEnd"/>
      <w:r>
        <w:t xml:space="preserve"> And Collective Expulsion In The Hirsi Case' (2013) 25 International Journal of Refugee Law</w:t>
      </w:r>
    </w:p>
    <w:p w14:paraId="15CB90B0" w14:textId="635DA41D" w:rsidR="00AF6191" w:rsidRDefault="00AF6191" w:rsidP="00AF6191">
      <w:pPr>
        <w:spacing w:after="336" w:line="360" w:lineRule="auto"/>
        <w:ind w:left="456" w:hanging="456"/>
      </w:pPr>
      <w:r w:rsidRPr="00AF6191">
        <w:t>Document, R (ex Parte European Roma Rights Centre et al) v Immigration officer at Prague Airport and another (UNHCR intervening) (2005) 17 Internat</w:t>
      </w:r>
      <w:r>
        <w:t>ional Journal of Refugee Law</w:t>
      </w:r>
    </w:p>
    <w:p w14:paraId="5AB5382A" w14:textId="77777777" w:rsidR="00AF6191" w:rsidRDefault="00AF6191" w:rsidP="00AF6191">
      <w:pPr>
        <w:spacing w:after="336" w:line="360" w:lineRule="auto"/>
        <w:ind w:left="456" w:hanging="456"/>
      </w:pPr>
      <w:r>
        <w:t xml:space="preserve">European Commission, 'Communication </w:t>
      </w:r>
      <w:proofErr w:type="gramStart"/>
      <w:r>
        <w:t>From</w:t>
      </w:r>
      <w:proofErr w:type="gramEnd"/>
      <w:r>
        <w:t xml:space="preserve"> The Commission To The European Parliament, The European Council And The Council, Next Operational Steps In EU-Turkey Cooperation In The Field Of Migration' (2016) &lt;https://ec.europa.eu/transparency/regdoc/rep/1/2016/EN/1-2016-166-EN-F1-1.PDF&gt; accessed 2 April 2017</w:t>
      </w:r>
    </w:p>
    <w:p w14:paraId="75388C87" w14:textId="77777777" w:rsidR="00AF6191" w:rsidRDefault="00AF6191" w:rsidP="00AF6191">
      <w:pPr>
        <w:spacing w:after="336" w:line="360" w:lineRule="auto"/>
        <w:ind w:left="456" w:hanging="456"/>
      </w:pPr>
      <w:r>
        <w:t>European Commission, 'Communication From The Commission To The European Parliament And To The Council' (2015) &lt;https://ec.europa.eu/home-affairs/sites/homeaffairs/files/what-we-do/policies/european-agenda-migration/proposal-implementation-package/docs/communication_from_the_ec_to_ep_and_council_-_eu_action_plan_on_return_en.pdf&gt; accessed 8 April 2017</w:t>
      </w:r>
    </w:p>
    <w:p w14:paraId="15741F1E" w14:textId="77777777" w:rsidR="00AF6191" w:rsidRDefault="00AF6191" w:rsidP="00AF6191">
      <w:pPr>
        <w:spacing w:after="336" w:line="360" w:lineRule="auto"/>
        <w:ind w:left="456" w:hanging="456"/>
      </w:pPr>
      <w:r>
        <w:t xml:space="preserve">European Commission, 'EU-Turkey Statement: Questions </w:t>
      </w:r>
      <w:proofErr w:type="gramStart"/>
      <w:r>
        <w:t>And</w:t>
      </w:r>
      <w:proofErr w:type="gramEnd"/>
      <w:r>
        <w:t xml:space="preserve"> Answers' (2016) &lt;http://europa.eu/rapid/press-release_MEMO-16-963_en.htm&gt; accessed 8 April 2017</w:t>
      </w:r>
    </w:p>
    <w:p w14:paraId="22DA6FFB" w14:textId="77777777" w:rsidR="00AF6191" w:rsidRDefault="00AF6191" w:rsidP="00AF6191">
      <w:pPr>
        <w:spacing w:after="336" w:line="360" w:lineRule="auto"/>
        <w:ind w:left="456" w:hanging="456"/>
      </w:pPr>
      <w:r>
        <w:lastRenderedPageBreak/>
        <w:t>European Council, 'EU-Turkey Statement, 18 March 2016' (2016) &lt;http://www.consilium.europa.eu/en/press/press-releases/2016/03/18-eu-turkey-statement/&gt; accessed 2 April 2017</w:t>
      </w:r>
    </w:p>
    <w:p w14:paraId="3106BEDC" w14:textId="77777777" w:rsidR="00AF6191" w:rsidRDefault="00AF6191" w:rsidP="00AF6191">
      <w:pPr>
        <w:spacing w:after="336" w:line="360" w:lineRule="auto"/>
        <w:ind w:left="456" w:hanging="456"/>
      </w:pPr>
      <w:r>
        <w:t>Gil-</w:t>
      </w:r>
      <w:proofErr w:type="spellStart"/>
      <w:r>
        <w:t>Bazo</w:t>
      </w:r>
      <w:proofErr w:type="spellEnd"/>
      <w:r>
        <w:t xml:space="preserve"> M, 'Refugee Protection Under International Human Rights Law: From Non-</w:t>
      </w:r>
      <w:proofErr w:type="spellStart"/>
      <w:r>
        <w:t>Refoulement</w:t>
      </w:r>
      <w:proofErr w:type="spellEnd"/>
      <w:r>
        <w:t xml:space="preserve"> To Residence </w:t>
      </w:r>
      <w:proofErr w:type="gramStart"/>
      <w:r>
        <w:t>And</w:t>
      </w:r>
      <w:proofErr w:type="gramEnd"/>
      <w:r>
        <w:t xml:space="preserve"> Citizenship' (2015) 34 Refugee Survey Quarterly</w:t>
      </w:r>
    </w:p>
    <w:p w14:paraId="6AD4CD1E" w14:textId="15866A7F" w:rsidR="00AF6191" w:rsidRDefault="00AF6191" w:rsidP="00AF6191">
      <w:pPr>
        <w:spacing w:after="336" w:line="360" w:lineRule="auto"/>
        <w:ind w:left="456" w:hanging="456"/>
      </w:pPr>
      <w:r>
        <w:t xml:space="preserve">Giuffre M, 'Readmission Agreements </w:t>
      </w:r>
      <w:proofErr w:type="gramStart"/>
      <w:r>
        <w:t>And</w:t>
      </w:r>
      <w:proofErr w:type="gramEnd"/>
      <w:r>
        <w:t xml:space="preserve"> Refugee Rights: From A Critique To A Proposal' (2013) 32 Refugee Survey Quarterly</w:t>
      </w:r>
    </w:p>
    <w:p w14:paraId="60B04CF9" w14:textId="3256D03C" w:rsidR="003520F8" w:rsidRDefault="003520F8" w:rsidP="00AF6191">
      <w:pPr>
        <w:spacing w:after="336" w:line="360" w:lineRule="auto"/>
        <w:ind w:left="456" w:hanging="456"/>
      </w:pPr>
      <w:r>
        <w:rPr>
          <w:rStyle w:val="selectable"/>
        </w:rPr>
        <w:t xml:space="preserve">Giuffre M, 'State Responsibility Beyond Borders: What Legal Basis </w:t>
      </w:r>
      <w:proofErr w:type="gramStart"/>
      <w:r>
        <w:rPr>
          <w:rStyle w:val="selectable"/>
        </w:rPr>
        <w:t>For</w:t>
      </w:r>
      <w:proofErr w:type="gramEnd"/>
      <w:r>
        <w:rPr>
          <w:rStyle w:val="selectable"/>
        </w:rPr>
        <w:t xml:space="preserve"> Italy's Push-Backs To Libya' (2013) 24 International Journal of Refugee Law</w:t>
      </w:r>
    </w:p>
    <w:p w14:paraId="00CDF7E1" w14:textId="77777777" w:rsidR="00AF6191" w:rsidRDefault="00AF6191" w:rsidP="00AF6191">
      <w:pPr>
        <w:spacing w:after="336" w:line="360" w:lineRule="auto"/>
        <w:ind w:left="456" w:hanging="456"/>
      </w:pPr>
      <w:r>
        <w:t xml:space="preserve">Giuffre M, 'The Obligation </w:t>
      </w:r>
      <w:proofErr w:type="gramStart"/>
      <w:r>
        <w:t>To</w:t>
      </w:r>
      <w:proofErr w:type="gramEnd"/>
      <w:r>
        <w:t xml:space="preserve"> Readmit And The Relationship Between Interstate And EU Readmission Agreements', </w:t>
      </w:r>
      <w:r>
        <w:rPr>
          <w:i/>
        </w:rPr>
        <w:t>Migration in Mare Nostrum: Mechanisms of International Cooperation</w:t>
      </w:r>
      <w:r>
        <w:t xml:space="preserve"> (1st </w:t>
      </w:r>
      <w:proofErr w:type="spellStart"/>
      <w:r>
        <w:t>edn</w:t>
      </w:r>
      <w:proofErr w:type="spellEnd"/>
      <w:r>
        <w:t>, Cambridge University Press 2015)</w:t>
      </w:r>
    </w:p>
    <w:p w14:paraId="78AB2F81" w14:textId="77777777" w:rsidR="00AF6191" w:rsidRDefault="00AF6191" w:rsidP="00AF6191">
      <w:pPr>
        <w:spacing w:after="336" w:line="360" w:lineRule="auto"/>
        <w:ind w:left="456" w:hanging="456"/>
      </w:pPr>
      <w:r>
        <w:t xml:space="preserve">Goodwin-Gill G and McAdam J, </w:t>
      </w:r>
      <w:r>
        <w:rPr>
          <w:i/>
        </w:rPr>
        <w:t xml:space="preserve">The Refugee </w:t>
      </w:r>
      <w:proofErr w:type="gramStart"/>
      <w:r>
        <w:rPr>
          <w:i/>
        </w:rPr>
        <w:t>In</w:t>
      </w:r>
      <w:proofErr w:type="gramEnd"/>
      <w:r>
        <w:rPr>
          <w:i/>
        </w:rPr>
        <w:t xml:space="preserve"> International Law</w:t>
      </w:r>
      <w:r>
        <w:t xml:space="preserve"> (3rd </w:t>
      </w:r>
      <w:proofErr w:type="spellStart"/>
      <w:r>
        <w:t>edn</w:t>
      </w:r>
      <w:proofErr w:type="spellEnd"/>
      <w:r>
        <w:t>, Oxford University Press 2007)</w:t>
      </w:r>
    </w:p>
    <w:p w14:paraId="5A4A4D9E" w14:textId="77777777" w:rsidR="00AF6191" w:rsidRDefault="00AF6191" w:rsidP="00AF6191">
      <w:pPr>
        <w:spacing w:after="336" w:line="360" w:lineRule="auto"/>
        <w:ind w:left="456" w:hanging="456"/>
      </w:pPr>
      <w:r>
        <w:t xml:space="preserve">Goodwin-Gill G, 'The Right </w:t>
      </w:r>
      <w:proofErr w:type="gramStart"/>
      <w:r>
        <w:t>To</w:t>
      </w:r>
      <w:proofErr w:type="gramEnd"/>
      <w:r>
        <w:t xml:space="preserve"> Seek Asylum: Interception At Sea And The Principle Of Non-</w:t>
      </w:r>
      <w:proofErr w:type="spellStart"/>
      <w:r>
        <w:t>Refoulement</w:t>
      </w:r>
      <w:proofErr w:type="spellEnd"/>
      <w:r>
        <w:t>' (2011) 23 International Journal of Refugee Law</w:t>
      </w:r>
    </w:p>
    <w:p w14:paraId="6F907F09" w14:textId="77777777" w:rsidR="00AF6191" w:rsidRDefault="00AF6191" w:rsidP="00AF6191">
      <w:pPr>
        <w:spacing w:after="336" w:line="360" w:lineRule="auto"/>
        <w:ind w:left="456" w:hanging="456"/>
      </w:pPr>
      <w:r>
        <w:t xml:space="preserve">Human Rights Watch, 'EU Policies Put Refugees </w:t>
      </w:r>
      <w:proofErr w:type="gramStart"/>
      <w:r>
        <w:t>At</w:t>
      </w:r>
      <w:proofErr w:type="gramEnd"/>
      <w:r>
        <w:t xml:space="preserve"> Risk' (2016) &lt;https://www.hrw.org/news/2016/11/23/eu-policies-put-refugees-risk&gt; accessed 1 April 2017</w:t>
      </w:r>
    </w:p>
    <w:p w14:paraId="156677E7" w14:textId="77777777" w:rsidR="00AF6191" w:rsidRDefault="00AF6191" w:rsidP="00AF6191">
      <w:pPr>
        <w:spacing w:after="336" w:line="360" w:lineRule="auto"/>
        <w:ind w:left="456" w:hanging="456"/>
      </w:pPr>
      <w:proofErr w:type="gramStart"/>
      <w:r>
        <w:t>Kruse</w:t>
      </w:r>
      <w:proofErr w:type="gramEnd"/>
      <w:r>
        <w:t xml:space="preserve"> I, 'EU Readmission Policy And Its Effects On Transit Countries – The Case Of Albania' (2006) 8 European Journal of Migration and Law</w:t>
      </w:r>
    </w:p>
    <w:p w14:paraId="1712A7AC" w14:textId="77777777" w:rsidR="00AF6191" w:rsidRDefault="00AF6191" w:rsidP="00AF6191">
      <w:pPr>
        <w:spacing w:after="336" w:line="360" w:lineRule="auto"/>
        <w:ind w:left="456" w:hanging="456"/>
      </w:pPr>
      <w:r>
        <w:t xml:space="preserve">Landgren K, 'Deflecting International Protection </w:t>
      </w:r>
      <w:proofErr w:type="gramStart"/>
      <w:r>
        <w:t>By</w:t>
      </w:r>
      <w:proofErr w:type="gramEnd"/>
      <w:r>
        <w:t xml:space="preserve"> Treaty: Bilateral And Multilateral Accords On Extradition, Readmission And The Inadmissibility Of Asylum Requests' (UNICEF 1999) &lt;http://www.unhcr.org/uk/research/working/3ae6a0ce0/deflecting-international-protection-treaty-bilateral-multilateral-accords.html&gt; accessed 30 March 2017</w:t>
      </w:r>
    </w:p>
    <w:p w14:paraId="41B7214A" w14:textId="77777777" w:rsidR="00AF6191" w:rsidRDefault="00AF6191" w:rsidP="00AF6191">
      <w:pPr>
        <w:spacing w:after="336" w:line="360" w:lineRule="auto"/>
        <w:ind w:left="456" w:hanging="456"/>
      </w:pPr>
      <w:r>
        <w:lastRenderedPageBreak/>
        <w:t xml:space="preserve">Marx R and Lumpp K, 'The German Constitutional Court's Decision Of 14 May 1996 </w:t>
      </w:r>
      <w:proofErr w:type="gramStart"/>
      <w:r>
        <w:t>On</w:t>
      </w:r>
      <w:proofErr w:type="gramEnd"/>
      <w:r>
        <w:t xml:space="preserve"> The Concept Of Safe Third Countries - A Basis For Burden Sharing In Europe?' (1996) 8 International Journal of Refugee Law</w:t>
      </w:r>
    </w:p>
    <w:p w14:paraId="2984E961" w14:textId="77777777" w:rsidR="00AF6191" w:rsidRDefault="00AF6191" w:rsidP="00AF6191">
      <w:pPr>
        <w:spacing w:after="336" w:line="360" w:lineRule="auto"/>
        <w:ind w:left="456" w:hanging="456"/>
      </w:pPr>
      <w:r>
        <w:t xml:space="preserve">Mink J, 'EU Asylum Law </w:t>
      </w:r>
      <w:proofErr w:type="gramStart"/>
      <w:r>
        <w:t>And</w:t>
      </w:r>
      <w:proofErr w:type="gramEnd"/>
      <w:r>
        <w:t xml:space="preserve"> Human Rights Protection: Revisiting The Principle Of Non-</w:t>
      </w:r>
      <w:proofErr w:type="spellStart"/>
      <w:r>
        <w:t>Refoulement</w:t>
      </w:r>
      <w:proofErr w:type="spellEnd"/>
      <w:r>
        <w:t xml:space="preserve"> And The Prohibition Of Torture And Other Forms Of Ill-Treatment' (2012) 14 European Journal of Migration and Law</w:t>
      </w:r>
    </w:p>
    <w:p w14:paraId="6AF9EB61" w14:textId="77777777" w:rsidR="00AF6191" w:rsidRDefault="00AF6191" w:rsidP="00AF6191">
      <w:pPr>
        <w:spacing w:after="336" w:line="360" w:lineRule="auto"/>
        <w:ind w:left="456" w:hanging="456"/>
      </w:pPr>
      <w:r>
        <w:t xml:space="preserve">Moreno-Lax V, 'Hirsi </w:t>
      </w:r>
      <w:proofErr w:type="spellStart"/>
      <w:r>
        <w:t>Jamaa</w:t>
      </w:r>
      <w:proofErr w:type="spellEnd"/>
      <w:r>
        <w:t xml:space="preserve"> And Others V Italy Or </w:t>
      </w:r>
      <w:proofErr w:type="gramStart"/>
      <w:r>
        <w:t>The</w:t>
      </w:r>
      <w:proofErr w:type="gramEnd"/>
      <w:r>
        <w:t xml:space="preserve"> Strasbourg Court Versus Extraterritorial Migration Control?' (2012) 12 Human Rights Law Review</w:t>
      </w:r>
    </w:p>
    <w:p w14:paraId="10C7CA79" w14:textId="77777777" w:rsidR="00AF6191" w:rsidRDefault="00AF6191" w:rsidP="00AF6191">
      <w:pPr>
        <w:spacing w:after="336" w:line="360" w:lineRule="auto"/>
        <w:ind w:left="456" w:hanging="456"/>
      </w:pPr>
      <w:r>
        <w:t xml:space="preserve">Nasr L, 'The Extraterritoriality </w:t>
      </w:r>
      <w:proofErr w:type="gramStart"/>
      <w:r>
        <w:t>Of</w:t>
      </w:r>
      <w:proofErr w:type="gramEnd"/>
      <w:r>
        <w:t xml:space="preserve"> The Principle Of Non-</w:t>
      </w:r>
      <w:proofErr w:type="spellStart"/>
      <w:r>
        <w:t>Refoulement</w:t>
      </w:r>
      <w:proofErr w:type="spellEnd"/>
      <w:r>
        <w:t>: A Critique Of The Sale Case And Roma Case' &lt;http://blogs.lse.ac.uk/humanrights/2016/02/09/the-extraterritoriality-of-the-principle-of-non-refoulement-a-critique-of-the-sale-case-and-roma-case/&gt; accessed 4 April 2017</w:t>
      </w:r>
    </w:p>
    <w:p w14:paraId="5BAF3C87" w14:textId="77777777" w:rsidR="00AF6191" w:rsidRDefault="00AF6191" w:rsidP="00AF6191">
      <w:pPr>
        <w:spacing w:after="336" w:line="360" w:lineRule="auto"/>
        <w:ind w:left="456" w:hanging="456"/>
      </w:pPr>
      <w:proofErr w:type="spellStart"/>
      <w:r>
        <w:t>Orav</w:t>
      </w:r>
      <w:proofErr w:type="spellEnd"/>
      <w:r>
        <w:t xml:space="preserve"> A and </w:t>
      </w:r>
      <w:proofErr w:type="spellStart"/>
      <w:r>
        <w:t>Apap</w:t>
      </w:r>
      <w:proofErr w:type="spellEnd"/>
      <w:r>
        <w:t xml:space="preserve"> J, 'Safe Countries </w:t>
      </w:r>
      <w:proofErr w:type="gramStart"/>
      <w:r>
        <w:t>Of</w:t>
      </w:r>
      <w:proofErr w:type="gramEnd"/>
      <w:r>
        <w:t xml:space="preserve"> Origin: Proposed Common EU List' (European Parliament 2017) &lt;http://www.europarl.europa.eu/RegData/etudes/BRIE/2015/569008/EPRS_BRI(2015)569008_EN.pdf&gt; accessed 8 April 2017</w:t>
      </w:r>
    </w:p>
    <w:p w14:paraId="6CB1E633" w14:textId="77777777" w:rsidR="00AF6191" w:rsidRDefault="00AF6191" w:rsidP="00AF6191">
      <w:pPr>
        <w:spacing w:after="336" w:line="360" w:lineRule="auto"/>
        <w:ind w:left="456" w:hanging="456"/>
      </w:pPr>
      <w:proofErr w:type="spellStart"/>
      <w:r>
        <w:t>Panizzon</w:t>
      </w:r>
      <w:proofErr w:type="spellEnd"/>
      <w:r>
        <w:t xml:space="preserve"> M, 'Readmission Agreements </w:t>
      </w:r>
      <w:proofErr w:type="gramStart"/>
      <w:r>
        <w:t>Of</w:t>
      </w:r>
      <w:proofErr w:type="gramEnd"/>
      <w:r>
        <w:t xml:space="preserve"> EU Member States: A Case For EU Subsidiarity Or Dualism' (2012) 31 Refugee Survey Quarterly</w:t>
      </w:r>
    </w:p>
    <w:p w14:paraId="7FD92696" w14:textId="77777777" w:rsidR="00AF6191" w:rsidRDefault="00AF6191" w:rsidP="00AF6191">
      <w:pPr>
        <w:spacing w:after="336" w:line="360" w:lineRule="auto"/>
        <w:ind w:left="456" w:hanging="456"/>
      </w:pPr>
      <w:r>
        <w:t xml:space="preserve">Peers S, 'The EU, Turkey </w:t>
      </w:r>
      <w:proofErr w:type="gramStart"/>
      <w:r>
        <w:t>And</w:t>
      </w:r>
      <w:proofErr w:type="gramEnd"/>
      <w:r>
        <w:t xml:space="preserve"> The Refugee Crisis: What Could Possibly Go Wrong?' &lt;http://eulawanalysis.blogspot.co.uk/2016/02/the-eu-turkey-and-refugee-crisis-what.html&gt; accessed 8 April 2017</w:t>
      </w:r>
    </w:p>
    <w:p w14:paraId="48AA56A2" w14:textId="77777777" w:rsidR="00AF6191" w:rsidRDefault="00AF6191" w:rsidP="00AF6191">
      <w:pPr>
        <w:spacing w:after="336" w:line="360" w:lineRule="auto"/>
        <w:ind w:left="456" w:hanging="456"/>
      </w:pPr>
      <w:r>
        <w:t>Peers S, 'The Final EU/Turkey Refugee Deal: A Legal Assessment' &lt;http://eulawanalysis.blogspot.co.uk/2016/03/the-final-euturkey-refugee-deal-legal.html&gt; accessed 27 March 2017</w:t>
      </w:r>
    </w:p>
    <w:p w14:paraId="49CA4E5B" w14:textId="77777777" w:rsidR="00AF6191" w:rsidRDefault="00AF6191" w:rsidP="00AF6191">
      <w:pPr>
        <w:spacing w:after="336" w:line="360" w:lineRule="auto"/>
        <w:ind w:left="456" w:hanging="456"/>
      </w:pPr>
      <w:proofErr w:type="spellStart"/>
      <w:r>
        <w:t>Sy</w:t>
      </w:r>
      <w:proofErr w:type="spellEnd"/>
      <w:r>
        <w:t xml:space="preserve"> M, 'UNHCR And Preventing Indirect </w:t>
      </w:r>
      <w:proofErr w:type="spellStart"/>
      <w:r>
        <w:t>Refoulement</w:t>
      </w:r>
      <w:proofErr w:type="spellEnd"/>
      <w:r>
        <w:t xml:space="preserve"> In Europe' (2015) 27 International Journal of Refugee Law</w:t>
      </w:r>
    </w:p>
    <w:p w14:paraId="712CDA2A" w14:textId="77777777" w:rsidR="00AF6191" w:rsidRDefault="00AF6191" w:rsidP="00AF6191">
      <w:pPr>
        <w:spacing w:after="336" w:line="360" w:lineRule="auto"/>
        <w:ind w:left="456" w:hanging="456"/>
      </w:pPr>
      <w:r>
        <w:lastRenderedPageBreak/>
        <w:t xml:space="preserve">'Turkey: Illegal Mass Returns </w:t>
      </w:r>
      <w:proofErr w:type="gramStart"/>
      <w:r>
        <w:t>Of</w:t>
      </w:r>
      <w:proofErr w:type="gramEnd"/>
      <w:r>
        <w:t xml:space="preserve"> Syrian Refugees Expose Fatal Flaws In EU-Turkey Deal' (</w:t>
      </w:r>
      <w:r>
        <w:rPr>
          <w:i/>
        </w:rPr>
        <w:t>Amnesty.org</w:t>
      </w:r>
      <w:r>
        <w:t>, 2017) &lt;https://www.amnesty.org/en/latest/news/2016/04/turkey-illegal-mass-returns-of-syrian-refugees-expose-fatal-flaws-in-eu-turkey-deal/&gt; accessed 8 April 2017</w:t>
      </w:r>
    </w:p>
    <w:p w14:paraId="60BA66AE" w14:textId="77777777" w:rsidR="00AF6191" w:rsidRDefault="00AF6191" w:rsidP="00AF6191">
      <w:pPr>
        <w:spacing w:after="336" w:line="360" w:lineRule="auto"/>
        <w:ind w:left="456" w:hanging="456"/>
      </w:pPr>
      <w:r>
        <w:t xml:space="preserve">UNHCR, 'An Overview </w:t>
      </w:r>
      <w:proofErr w:type="gramStart"/>
      <w:r>
        <w:t>Of</w:t>
      </w:r>
      <w:proofErr w:type="gramEnd"/>
      <w:r>
        <w:t xml:space="preserve"> Protection Issues In Europe: Legislative Trends And Positions Taken By UNHCR' (UNHCR 1995) &lt;http://www.unhcr.org/uk/publications/euroseries/46e65e1e2/overview-protection-issues-europe-legislative-trends-positions-taken-unhcr.html&gt; accessed 31 March 2017</w:t>
      </w:r>
    </w:p>
    <w:p w14:paraId="6A0210ED" w14:textId="77777777" w:rsidR="00AF6191" w:rsidRDefault="00AF6191" w:rsidP="00AF6191">
      <w:pPr>
        <w:spacing w:after="336" w:line="360" w:lineRule="auto"/>
        <w:ind w:left="456" w:hanging="456"/>
      </w:pPr>
      <w:r>
        <w:t xml:space="preserve">United Nations High Commissioner for Refugees (UNHCR), 'Advisory Opinion On The Extraterritorial Application </w:t>
      </w:r>
      <w:proofErr w:type="spellStart"/>
      <w:r>
        <w:t>Ofnon-Refoulement</w:t>
      </w:r>
      <w:proofErr w:type="spellEnd"/>
      <w:r>
        <w:t xml:space="preserve"> Obligations Under The 1951 Convention Relating To The Status Of Refugees And Its 1967 Protocol' (2007) &lt;http://www.refworld.org/pdfid/45f17a1a4.pdf&gt; accessed 1 April 2017</w:t>
      </w:r>
    </w:p>
    <w:p w14:paraId="6C504DA1" w14:textId="77777777" w:rsidR="00AF6191" w:rsidRDefault="00AF6191" w:rsidP="00AF6191">
      <w:pPr>
        <w:spacing w:after="336" w:line="360" w:lineRule="auto"/>
        <w:ind w:left="456" w:hanging="456"/>
      </w:pPr>
      <w:r>
        <w:rPr>
          <w:i/>
        </w:rPr>
        <w:t>Al-</w:t>
      </w:r>
      <w:proofErr w:type="spellStart"/>
      <w:r>
        <w:rPr>
          <w:i/>
        </w:rPr>
        <w:t>Skeini</w:t>
      </w:r>
      <w:proofErr w:type="spellEnd"/>
      <w:r>
        <w:rPr>
          <w:i/>
        </w:rPr>
        <w:t xml:space="preserve"> and Others v The United Kingdom</w:t>
      </w:r>
      <w:r>
        <w:t xml:space="preserve"> [2011] The European Court of Human Rights, Application no. 55721/07 (The European Court of Human Rights)</w:t>
      </w:r>
    </w:p>
    <w:p w14:paraId="5FBF0B27" w14:textId="77777777" w:rsidR="00AF6191" w:rsidRDefault="00AF6191" w:rsidP="00AF6191">
      <w:pPr>
        <w:spacing w:after="336" w:line="360" w:lineRule="auto"/>
        <w:ind w:left="456" w:hanging="456"/>
      </w:pPr>
      <w:proofErr w:type="spellStart"/>
      <w:r>
        <w:rPr>
          <w:i/>
        </w:rPr>
        <w:t>Bankovic</w:t>
      </w:r>
      <w:proofErr w:type="spellEnd"/>
      <w:r>
        <w:rPr>
          <w:i/>
        </w:rPr>
        <w:t xml:space="preserve"> and Others v Belgium and Others</w:t>
      </w:r>
      <w:r>
        <w:t xml:space="preserve"> [2001] European Court of Human Rights, Application no. 52207/99 (European Court of Human Rights)</w:t>
      </w:r>
    </w:p>
    <w:p w14:paraId="3F1BC623" w14:textId="77777777" w:rsidR="00AF6191" w:rsidRDefault="00AF6191" w:rsidP="00AF6191">
      <w:pPr>
        <w:spacing w:after="336" w:line="360" w:lineRule="auto"/>
        <w:ind w:left="456" w:hanging="456"/>
      </w:pPr>
      <w:r>
        <w:rPr>
          <w:i/>
        </w:rPr>
        <w:t xml:space="preserve">Cruz </w:t>
      </w:r>
      <w:proofErr w:type="spellStart"/>
      <w:r>
        <w:rPr>
          <w:i/>
        </w:rPr>
        <w:t>Varas</w:t>
      </w:r>
      <w:proofErr w:type="spellEnd"/>
      <w:r>
        <w:rPr>
          <w:i/>
        </w:rPr>
        <w:t xml:space="preserve"> and Others v Sweden</w:t>
      </w:r>
      <w:r>
        <w:t xml:space="preserve"> [1991] European Court of Human Rights, 46/1990/237/307 (European Court of Human Rights)</w:t>
      </w:r>
    </w:p>
    <w:p w14:paraId="278D06EE" w14:textId="77777777" w:rsidR="00AF6191" w:rsidRDefault="00AF6191" w:rsidP="00AF6191">
      <w:pPr>
        <w:spacing w:after="336" w:line="360" w:lineRule="auto"/>
        <w:ind w:left="456" w:hanging="456"/>
      </w:pPr>
      <w:r>
        <w:rPr>
          <w:i/>
        </w:rPr>
        <w:t xml:space="preserve">Hirsi </w:t>
      </w:r>
      <w:proofErr w:type="spellStart"/>
      <w:r>
        <w:rPr>
          <w:i/>
        </w:rPr>
        <w:t>Jamaa</w:t>
      </w:r>
      <w:proofErr w:type="spellEnd"/>
      <w:r>
        <w:rPr>
          <w:i/>
        </w:rPr>
        <w:t xml:space="preserve"> and Others v Italy</w:t>
      </w:r>
      <w:r>
        <w:t xml:space="preserve"> [2012] European Court of Human Rights, Application no. 27765/09 (European Court of Human Rights)</w:t>
      </w:r>
    </w:p>
    <w:p w14:paraId="684FA69C" w14:textId="77777777" w:rsidR="00AF6191" w:rsidRDefault="00AF6191" w:rsidP="00AF6191">
      <w:pPr>
        <w:spacing w:after="336" w:line="360" w:lineRule="auto"/>
        <w:ind w:left="456" w:hanging="456"/>
      </w:pPr>
      <w:r>
        <w:rPr>
          <w:i/>
        </w:rPr>
        <w:t>KRS v United Kingdom</w:t>
      </w:r>
      <w:r>
        <w:t xml:space="preserve"> [2008] European Court of Human Rights, Application no. 32733/08 (European Court of Human Rights)</w:t>
      </w:r>
    </w:p>
    <w:p w14:paraId="52B799D2" w14:textId="77777777" w:rsidR="00AF6191" w:rsidRDefault="00AF6191" w:rsidP="00AF6191">
      <w:pPr>
        <w:spacing w:after="336" w:line="360" w:lineRule="auto"/>
        <w:ind w:left="456" w:hanging="456"/>
      </w:pPr>
      <w:r>
        <w:rPr>
          <w:i/>
        </w:rPr>
        <w:t>MSS v Belgium and Greece</w:t>
      </w:r>
      <w:r>
        <w:t xml:space="preserve"> [2011] European Court of Human Rights, Application no. 30696/09 (European Court of Human Rights)</w:t>
      </w:r>
    </w:p>
    <w:p w14:paraId="6894DD63" w14:textId="77777777" w:rsidR="00AF6191" w:rsidRDefault="00AF6191" w:rsidP="00AF6191">
      <w:pPr>
        <w:spacing w:after="336" w:line="360" w:lineRule="auto"/>
        <w:ind w:left="456" w:hanging="456"/>
      </w:pPr>
      <w:proofErr w:type="spellStart"/>
      <w:r>
        <w:rPr>
          <w:i/>
        </w:rPr>
        <w:t>Saadi</w:t>
      </w:r>
      <w:proofErr w:type="spellEnd"/>
      <w:r>
        <w:rPr>
          <w:i/>
        </w:rPr>
        <w:t xml:space="preserve"> v Italy</w:t>
      </w:r>
      <w:r>
        <w:t xml:space="preserve"> [2008] European Court of Human Rights (ECHR); Grand Chamber, Appl. No. 37201/06 (European Court of Human Rights (ECHR); Grand Chamber)</w:t>
      </w:r>
    </w:p>
    <w:p w14:paraId="31FDFF79" w14:textId="77777777" w:rsidR="00AF6191" w:rsidRDefault="00AF6191" w:rsidP="00AF6191">
      <w:pPr>
        <w:spacing w:after="336" w:line="360" w:lineRule="auto"/>
        <w:ind w:left="456" w:hanging="456"/>
      </w:pPr>
      <w:proofErr w:type="spellStart"/>
      <w:r>
        <w:rPr>
          <w:i/>
        </w:rPr>
        <w:lastRenderedPageBreak/>
        <w:t>Soering</w:t>
      </w:r>
      <w:proofErr w:type="spellEnd"/>
      <w:r>
        <w:rPr>
          <w:i/>
        </w:rPr>
        <w:t xml:space="preserve"> v The United Kingdom</w:t>
      </w:r>
      <w:r>
        <w:t xml:space="preserve"> [1989] Council of Europe: European Court of Human Rights, 1/1989/161/217 (Council of Europe: European Court of Human Rights)</w:t>
      </w:r>
    </w:p>
    <w:p w14:paraId="783E9CFF" w14:textId="77777777" w:rsidR="00AF6191" w:rsidRDefault="00AF6191" w:rsidP="00AF6191">
      <w:pPr>
        <w:spacing w:after="336" w:line="360" w:lineRule="auto"/>
        <w:ind w:left="456" w:hanging="456"/>
      </w:pPr>
      <w:r>
        <w:rPr>
          <w:i/>
        </w:rPr>
        <w:t>TI v The United Kingdom</w:t>
      </w:r>
      <w:r>
        <w:t xml:space="preserve"> [2000] European Court of Human Rights, Appl. No. 43844/98 (European Court of Human Rights)</w:t>
      </w:r>
    </w:p>
    <w:p w14:paraId="27D191C6" w14:textId="77777777" w:rsidR="00AF6191" w:rsidRPr="00AF6191" w:rsidRDefault="00AF6191" w:rsidP="00237749">
      <w:pPr>
        <w:spacing w:line="360" w:lineRule="auto"/>
        <w:jc w:val="both"/>
      </w:pPr>
    </w:p>
    <w:p w14:paraId="4675F67B" w14:textId="77777777" w:rsidR="00DA6816" w:rsidRDefault="00DA6816" w:rsidP="00237749">
      <w:pPr>
        <w:spacing w:line="360" w:lineRule="auto"/>
        <w:jc w:val="both"/>
      </w:pPr>
    </w:p>
    <w:p w14:paraId="7BE72711" w14:textId="3C0A16DB" w:rsidR="00237749" w:rsidRDefault="00237749" w:rsidP="00237749">
      <w:pPr>
        <w:spacing w:line="360" w:lineRule="auto"/>
        <w:jc w:val="both"/>
      </w:pPr>
      <w:r>
        <w:tab/>
        <w:t xml:space="preserve"> </w:t>
      </w:r>
    </w:p>
    <w:p w14:paraId="596C1F90" w14:textId="6AD862AB" w:rsidR="00033FD1" w:rsidRDefault="00033FD1" w:rsidP="00237749">
      <w:pPr>
        <w:spacing w:line="360" w:lineRule="auto"/>
        <w:jc w:val="both"/>
      </w:pPr>
    </w:p>
    <w:p w14:paraId="0A4E2D70" w14:textId="54AEBE63" w:rsidR="00033FD1" w:rsidRDefault="00033FD1" w:rsidP="00237749">
      <w:pPr>
        <w:spacing w:line="360" w:lineRule="auto"/>
        <w:jc w:val="both"/>
      </w:pPr>
    </w:p>
    <w:p w14:paraId="4ECAADF0" w14:textId="64A8D355" w:rsidR="00033FD1" w:rsidRDefault="00033FD1" w:rsidP="00237749">
      <w:pPr>
        <w:spacing w:line="360" w:lineRule="auto"/>
        <w:jc w:val="both"/>
      </w:pPr>
    </w:p>
    <w:p w14:paraId="3BC04822" w14:textId="77777777" w:rsidR="00033FD1" w:rsidRDefault="00033FD1" w:rsidP="00237749">
      <w:pPr>
        <w:spacing w:line="360" w:lineRule="auto"/>
        <w:jc w:val="both"/>
      </w:pPr>
    </w:p>
    <w:p w14:paraId="17F8F246" w14:textId="77777777" w:rsidR="00920E82" w:rsidRDefault="00920E82" w:rsidP="002B5A57">
      <w:pPr>
        <w:spacing w:line="360" w:lineRule="auto"/>
        <w:ind w:firstLine="720"/>
        <w:jc w:val="both"/>
      </w:pPr>
    </w:p>
    <w:p w14:paraId="447330C9" w14:textId="77777777" w:rsidR="00EC1150" w:rsidRPr="002B5A57" w:rsidRDefault="00EC1150">
      <w:pPr>
        <w:rPr>
          <w:b/>
        </w:rPr>
      </w:pPr>
    </w:p>
    <w:sectPr w:rsidR="00EC1150" w:rsidRPr="002B5A57" w:rsidSect="00EC11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B032" w14:textId="77777777" w:rsidR="00AD070B" w:rsidRDefault="00AD070B" w:rsidP="00EC1150">
      <w:r>
        <w:separator/>
      </w:r>
    </w:p>
  </w:endnote>
  <w:endnote w:type="continuationSeparator" w:id="0">
    <w:p w14:paraId="46D0267C" w14:textId="77777777" w:rsidR="00AD070B" w:rsidRDefault="00AD070B" w:rsidP="00EC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5F71" w14:textId="77777777" w:rsidR="00AD070B" w:rsidRDefault="00AD070B" w:rsidP="00EC1150">
      <w:r>
        <w:separator/>
      </w:r>
    </w:p>
  </w:footnote>
  <w:footnote w:type="continuationSeparator" w:id="0">
    <w:p w14:paraId="2E22AB77" w14:textId="77777777" w:rsidR="00AD070B" w:rsidRDefault="00AD070B" w:rsidP="00EC1150">
      <w:r>
        <w:continuationSeparator/>
      </w:r>
    </w:p>
  </w:footnote>
  <w:footnote w:id="1">
    <w:p w14:paraId="54A40E9C" w14:textId="6E4B765B" w:rsidR="008A474B" w:rsidRDefault="008A474B">
      <w:pPr>
        <w:pStyle w:val="FootnoteText"/>
      </w:pPr>
      <w:r>
        <w:rPr>
          <w:rStyle w:val="FootnoteReference"/>
        </w:rPr>
        <w:footnoteRef/>
      </w:r>
      <w:r>
        <w:t xml:space="preserve"> </w:t>
      </w:r>
      <w:proofErr w:type="spellStart"/>
      <w:r>
        <w:rPr>
          <w:rStyle w:val="selectable"/>
        </w:rPr>
        <w:t>Mariagiulia</w:t>
      </w:r>
      <w:proofErr w:type="spellEnd"/>
      <w:r>
        <w:rPr>
          <w:rStyle w:val="selectable"/>
        </w:rPr>
        <w:t xml:space="preserve"> Giuffre, 'Readmission Agreements </w:t>
      </w:r>
      <w:proofErr w:type="gramStart"/>
      <w:r>
        <w:rPr>
          <w:rStyle w:val="selectable"/>
        </w:rPr>
        <w:t>And</w:t>
      </w:r>
      <w:proofErr w:type="gramEnd"/>
      <w:r>
        <w:rPr>
          <w:rStyle w:val="selectable"/>
        </w:rPr>
        <w:t xml:space="preserve"> Refugee Rights: From A Critique To A Proposal' (2013) 32 Refugee Survey Quarterly. 79</w:t>
      </w:r>
    </w:p>
  </w:footnote>
  <w:footnote w:id="2">
    <w:p w14:paraId="5FA4EBF8" w14:textId="132A08A3" w:rsidR="008A474B" w:rsidRDefault="008A474B" w:rsidP="002B5A57">
      <w:pPr>
        <w:pStyle w:val="FootnoteText"/>
      </w:pPr>
      <w:r>
        <w:rPr>
          <w:rStyle w:val="FootnoteReference"/>
        </w:rPr>
        <w:footnoteRef/>
      </w:r>
      <w:r>
        <w:t xml:space="preserve"> </w:t>
      </w:r>
      <w:r>
        <w:rPr>
          <w:rStyle w:val="selectable"/>
        </w:rPr>
        <w:t xml:space="preserve">Nils Coleman, </w:t>
      </w:r>
      <w:r>
        <w:rPr>
          <w:rStyle w:val="selectable"/>
          <w:i/>
          <w:iCs/>
        </w:rPr>
        <w:t xml:space="preserve">European Readmission Policy: Third Country Interests </w:t>
      </w:r>
      <w:proofErr w:type="gramStart"/>
      <w:r>
        <w:rPr>
          <w:rStyle w:val="selectable"/>
          <w:i/>
          <w:iCs/>
        </w:rPr>
        <w:t>And</w:t>
      </w:r>
      <w:proofErr w:type="gramEnd"/>
      <w:r>
        <w:rPr>
          <w:rStyle w:val="selectable"/>
          <w:i/>
          <w:iCs/>
        </w:rPr>
        <w:t xml:space="preserve"> Refugee Rights</w:t>
      </w:r>
      <w:r>
        <w:rPr>
          <w:rStyle w:val="selectable"/>
        </w:rPr>
        <w:t xml:space="preserve"> (1st </w:t>
      </w:r>
      <w:proofErr w:type="spellStart"/>
      <w:r>
        <w:rPr>
          <w:rStyle w:val="selectable"/>
        </w:rPr>
        <w:t>edn</w:t>
      </w:r>
      <w:proofErr w:type="spellEnd"/>
      <w:r>
        <w:rPr>
          <w:rStyle w:val="selectable"/>
        </w:rPr>
        <w:t xml:space="preserve">, </w:t>
      </w:r>
      <w:proofErr w:type="spellStart"/>
      <w:r>
        <w:rPr>
          <w:rStyle w:val="selectable"/>
        </w:rPr>
        <w:t>Martinus</w:t>
      </w:r>
      <w:proofErr w:type="spellEnd"/>
      <w:r>
        <w:rPr>
          <w:rStyle w:val="selectable"/>
        </w:rPr>
        <w:t xml:space="preserve"> </w:t>
      </w:r>
      <w:proofErr w:type="spellStart"/>
      <w:r>
        <w:rPr>
          <w:rStyle w:val="selectable"/>
        </w:rPr>
        <w:t>Nijhoff</w:t>
      </w:r>
      <w:proofErr w:type="spellEnd"/>
      <w:r>
        <w:rPr>
          <w:rStyle w:val="selectable"/>
        </w:rPr>
        <w:t xml:space="preserve"> Publishers, 2009), 57-70; Carole Billet, 'EC Readmission Agreements: A Prime Instrument Of The External Dimension Of The EU's Fight Against Irregular Immigration. An Assessment After Ten Years Of Practice' (2010) 12 European Journal of Migration and Law 45, 46</w:t>
      </w:r>
    </w:p>
  </w:footnote>
  <w:footnote w:id="3">
    <w:p w14:paraId="4CB61F4C" w14:textId="26C88748" w:rsidR="008A474B" w:rsidRDefault="008A474B" w:rsidP="00B167FF">
      <w:pPr>
        <w:pStyle w:val="FootnoteText"/>
      </w:pPr>
      <w:r>
        <w:rPr>
          <w:rStyle w:val="FootnoteReference"/>
        </w:rPr>
        <w:footnoteRef/>
      </w:r>
      <w:r>
        <w:t xml:space="preserve"> </w:t>
      </w:r>
      <w:r>
        <w:rPr>
          <w:rStyle w:val="selectable"/>
        </w:rPr>
        <w:t xml:space="preserve">Steve Peers, 'The EU, Turkey </w:t>
      </w:r>
      <w:proofErr w:type="gramStart"/>
      <w:r>
        <w:rPr>
          <w:rStyle w:val="selectable"/>
        </w:rPr>
        <w:t>And</w:t>
      </w:r>
      <w:proofErr w:type="gramEnd"/>
      <w:r>
        <w:rPr>
          <w:rStyle w:val="selectable"/>
        </w:rPr>
        <w:t xml:space="preserve"> The Refugee Crisis: What Could Possibly Go Wrong?' &lt;http://eulawanalysis.blogspot.co.uk/2016/02/the-eu-turkey-and-refugee-crisis-what.html&gt; accessed 8 April 2017; Steve Peers, 'The Final EU/Turkey Refugee Deal: A Legal Assessment' &lt;http://eulawanalysis.blogspot.co.uk/2016/03/the-final-euturkey-refugee-deal-legal.html&gt; accessed 27 March 2017; Elizabeth Collette, 'The Paradox </w:t>
      </w:r>
      <w:proofErr w:type="gramStart"/>
      <w:r>
        <w:rPr>
          <w:rStyle w:val="selectable"/>
        </w:rPr>
        <w:t>Of</w:t>
      </w:r>
      <w:proofErr w:type="gramEnd"/>
      <w:r>
        <w:rPr>
          <w:rStyle w:val="selectable"/>
        </w:rPr>
        <w:t xml:space="preserve"> The EU-Turkey Refugee Deal' (</w:t>
      </w:r>
      <w:r>
        <w:rPr>
          <w:rStyle w:val="selectable"/>
          <w:i/>
          <w:iCs/>
        </w:rPr>
        <w:t>migrationpolicy.org</w:t>
      </w:r>
      <w:r>
        <w:rPr>
          <w:rStyle w:val="selectable"/>
        </w:rPr>
        <w:t>, 2016) &lt;http://www.migrationpolicy.org/news/paradox-eu-turkey-refugee-deal&gt; accessed 8 April 2017.</w:t>
      </w:r>
    </w:p>
  </w:footnote>
  <w:footnote w:id="4">
    <w:p w14:paraId="72C9DCCD" w14:textId="5C2B837F" w:rsidR="008A474B" w:rsidRDefault="008A474B" w:rsidP="00ED7865">
      <w:pPr>
        <w:pStyle w:val="FootnoteText"/>
      </w:pPr>
      <w:r>
        <w:rPr>
          <w:rStyle w:val="FootnoteReference"/>
        </w:rPr>
        <w:footnoteRef/>
      </w:r>
      <w:r>
        <w:t xml:space="preserve"> </w:t>
      </w:r>
      <w:r>
        <w:rPr>
          <w:rStyle w:val="selectable"/>
        </w:rPr>
        <w:t>European Council, 'EU-Turkey Statement, 18 March 2016' (2016) &lt;http://www.consilium.europa.eu/en/press/press-releases/2016/03/18-eu-turkey-statement/&gt; accessed 2 April 2017.</w:t>
      </w:r>
    </w:p>
  </w:footnote>
  <w:footnote w:id="5">
    <w:p w14:paraId="54FD6DDF" w14:textId="2CFA1F51" w:rsidR="008A474B" w:rsidRDefault="008A474B" w:rsidP="002B5A57">
      <w:pPr>
        <w:pStyle w:val="FootnoteText"/>
      </w:pPr>
      <w:r>
        <w:rPr>
          <w:rStyle w:val="FootnoteReference"/>
        </w:rPr>
        <w:footnoteRef/>
      </w:r>
      <w:r>
        <w:t xml:space="preserve"> See Coleman, supra note </w:t>
      </w:r>
      <w:r>
        <w:fldChar w:fldCharType="begin"/>
      </w:r>
      <w:r>
        <w:instrText xml:space="preserve"> NOTEREF _Ref479433956 \h </w:instrText>
      </w:r>
      <w:r>
        <w:fldChar w:fldCharType="separate"/>
      </w:r>
      <w:r>
        <w:t>2</w:t>
      </w:r>
      <w:r>
        <w:fldChar w:fldCharType="end"/>
      </w:r>
      <w:r>
        <w:t>, at pp. 286</w:t>
      </w:r>
    </w:p>
  </w:footnote>
  <w:footnote w:id="6">
    <w:p w14:paraId="17067B30" w14:textId="1DB11710" w:rsidR="008A474B" w:rsidRDefault="008A474B">
      <w:pPr>
        <w:pStyle w:val="FootnoteText"/>
      </w:pPr>
      <w:r>
        <w:rPr>
          <w:rStyle w:val="FootnoteReference"/>
        </w:rPr>
        <w:footnoteRef/>
      </w:r>
      <w:r>
        <w:t xml:space="preserve"> Ibid, at pp. 286-291</w:t>
      </w:r>
    </w:p>
  </w:footnote>
  <w:footnote w:id="7">
    <w:p w14:paraId="27AED93F" w14:textId="350DA569" w:rsidR="008A474B" w:rsidRDefault="008A474B" w:rsidP="003E57D6">
      <w:pPr>
        <w:pStyle w:val="FootnoteText"/>
      </w:pPr>
      <w:r>
        <w:rPr>
          <w:rStyle w:val="FootnoteReference"/>
        </w:rPr>
        <w:footnoteRef/>
      </w:r>
      <w:r>
        <w:t xml:space="preserve"> </w:t>
      </w:r>
      <w:r w:rsidRPr="00ED7865">
        <w:t xml:space="preserve">Alan Boyle and Christine </w:t>
      </w:r>
      <w:proofErr w:type="spellStart"/>
      <w:r w:rsidRPr="00ED7865">
        <w:t>Chinkin</w:t>
      </w:r>
      <w:proofErr w:type="spellEnd"/>
      <w:r w:rsidRPr="00ED7865">
        <w:t xml:space="preserve">, The Making </w:t>
      </w:r>
      <w:proofErr w:type="gramStart"/>
      <w:r w:rsidRPr="00ED7865">
        <w:t>Of</w:t>
      </w:r>
      <w:proofErr w:type="gramEnd"/>
      <w:r w:rsidRPr="00ED7865">
        <w:t xml:space="preserve"> International Law (1st </w:t>
      </w:r>
      <w:proofErr w:type="spellStart"/>
      <w:r w:rsidRPr="00ED7865">
        <w:t>edn</w:t>
      </w:r>
      <w:proofErr w:type="spellEnd"/>
      <w:r w:rsidRPr="00ED7865">
        <w:t>, Oxford University Press 2007). 162, 276-278</w:t>
      </w:r>
      <w:r>
        <w:t>;</w:t>
      </w:r>
      <w:r w:rsidRPr="003E57D6">
        <w:t xml:space="preserve"> Tom De Boer, 'Closing Legal Black Holes: The Role Of Extraterritorial Jurisdiction In Refugee Rights Protection' (2014</w:t>
      </w:r>
      <w:r>
        <w:t xml:space="preserve">) 28 Journal of Refugee Studies 118, 121; </w:t>
      </w:r>
      <w:r>
        <w:rPr>
          <w:rStyle w:val="selectable"/>
        </w:rPr>
        <w:t>Julia Mink, 'EU Asylum Law And Human Rights Protection: Revisiting The Principle Of Non-</w:t>
      </w:r>
      <w:proofErr w:type="spellStart"/>
      <w:r>
        <w:rPr>
          <w:rStyle w:val="selectable"/>
        </w:rPr>
        <w:t>Refoulement</w:t>
      </w:r>
      <w:proofErr w:type="spellEnd"/>
      <w:r>
        <w:rPr>
          <w:rStyle w:val="selectable"/>
        </w:rPr>
        <w:t xml:space="preserve"> And The Prohibition Of Torture And Other Forms Of Ill-Treatment' (2012) 14 European Journal of Migration and Law 114, 136;</w:t>
      </w:r>
    </w:p>
  </w:footnote>
  <w:footnote w:id="8">
    <w:p w14:paraId="43E98E50" w14:textId="3E63B766" w:rsidR="008A474B" w:rsidRDefault="008A474B" w:rsidP="00266860">
      <w:pPr>
        <w:pStyle w:val="FootnoteText"/>
      </w:pPr>
      <w:r>
        <w:rPr>
          <w:rStyle w:val="FootnoteReference"/>
        </w:rPr>
        <w:footnoteRef/>
      </w:r>
      <w:r>
        <w:t xml:space="preserve"> </w:t>
      </w:r>
      <w:proofErr w:type="spellStart"/>
      <w:r>
        <w:rPr>
          <w:rStyle w:val="selectable"/>
        </w:rPr>
        <w:t>Mariagiulia</w:t>
      </w:r>
      <w:proofErr w:type="spellEnd"/>
      <w:r>
        <w:rPr>
          <w:rStyle w:val="selectable"/>
        </w:rPr>
        <w:t xml:space="preserve"> Giuffre, 'The Obligation </w:t>
      </w:r>
      <w:proofErr w:type="gramStart"/>
      <w:r>
        <w:rPr>
          <w:rStyle w:val="selectable"/>
        </w:rPr>
        <w:t>To</w:t>
      </w:r>
      <w:proofErr w:type="gramEnd"/>
      <w:r>
        <w:rPr>
          <w:rStyle w:val="selectable"/>
        </w:rPr>
        <w:t xml:space="preserve"> Readmit And The Relationship Between Interstate And EU Readmission Agreements', </w:t>
      </w:r>
      <w:r>
        <w:rPr>
          <w:rStyle w:val="selectable"/>
          <w:i/>
          <w:iCs/>
        </w:rPr>
        <w:t>Migration in Mare Nostrum: Mechanisms of International Cooperation</w:t>
      </w:r>
      <w:r>
        <w:rPr>
          <w:rStyle w:val="selectable"/>
        </w:rPr>
        <w:t xml:space="preserve"> (1st </w:t>
      </w:r>
      <w:proofErr w:type="spellStart"/>
      <w:r>
        <w:rPr>
          <w:rStyle w:val="selectable"/>
        </w:rPr>
        <w:t>edn</w:t>
      </w:r>
      <w:proofErr w:type="spellEnd"/>
      <w:r>
        <w:rPr>
          <w:rStyle w:val="selectable"/>
        </w:rPr>
        <w:t>, Cambridge University Press 2015) 1, 1-5;</w:t>
      </w:r>
      <w:r w:rsidRPr="001A4501">
        <w:t xml:space="preserve"> </w:t>
      </w:r>
      <w:r w:rsidRPr="001A4501">
        <w:rPr>
          <w:rStyle w:val="selectable"/>
        </w:rPr>
        <w:t xml:space="preserve">Marion </w:t>
      </w:r>
      <w:proofErr w:type="spellStart"/>
      <w:r w:rsidRPr="001A4501">
        <w:rPr>
          <w:rStyle w:val="selectable"/>
        </w:rPr>
        <w:t>Panizzon</w:t>
      </w:r>
      <w:proofErr w:type="spellEnd"/>
      <w:r w:rsidRPr="001A4501">
        <w:rPr>
          <w:rStyle w:val="selectable"/>
        </w:rPr>
        <w:t>, 'Readmission Agreements Of EU Member States: A Case For EU Subsidiarity Or Dualism' (2012) 31 Refugee Survey Quarterly. 101, 107-108</w:t>
      </w:r>
      <w:r>
        <w:rPr>
          <w:rStyle w:val="selectable"/>
        </w:rPr>
        <w:t xml:space="preserve">; Coleman, supra note </w:t>
      </w:r>
      <w:r>
        <w:rPr>
          <w:rStyle w:val="selectable"/>
        </w:rPr>
        <w:fldChar w:fldCharType="begin"/>
      </w:r>
      <w:r>
        <w:rPr>
          <w:rStyle w:val="selectable"/>
        </w:rPr>
        <w:instrText xml:space="preserve"> NOTEREF _Ref479433956 \h </w:instrText>
      </w:r>
      <w:r>
        <w:rPr>
          <w:rStyle w:val="selectable"/>
        </w:rPr>
      </w:r>
      <w:r>
        <w:rPr>
          <w:rStyle w:val="selectable"/>
        </w:rPr>
        <w:fldChar w:fldCharType="separate"/>
      </w:r>
      <w:r>
        <w:rPr>
          <w:rStyle w:val="selectable"/>
        </w:rPr>
        <w:t>2</w:t>
      </w:r>
      <w:r>
        <w:rPr>
          <w:rStyle w:val="selectable"/>
        </w:rPr>
        <w:fldChar w:fldCharType="end"/>
      </w:r>
      <w:r>
        <w:rPr>
          <w:rStyle w:val="selectable"/>
        </w:rPr>
        <w:t>, at pp. 230-235</w:t>
      </w:r>
    </w:p>
  </w:footnote>
  <w:footnote w:id="9">
    <w:p w14:paraId="3B7BCEDE" w14:textId="7A8A3C50" w:rsidR="008A474B" w:rsidRDefault="008A474B">
      <w:pPr>
        <w:pStyle w:val="FootnoteText"/>
      </w:pPr>
      <w:r>
        <w:rPr>
          <w:rStyle w:val="FootnoteReference"/>
        </w:rPr>
        <w:footnoteRef/>
      </w:r>
      <w:r>
        <w:t xml:space="preserve"> Giuffre, supra note </w:t>
      </w:r>
      <w:r>
        <w:fldChar w:fldCharType="begin"/>
      </w:r>
      <w:r>
        <w:instrText xml:space="preserve"> NOTEREF _Ref479435745 \h </w:instrText>
      </w:r>
      <w:r>
        <w:fldChar w:fldCharType="separate"/>
      </w:r>
      <w:r>
        <w:t>8</w:t>
      </w:r>
      <w:r>
        <w:fldChar w:fldCharType="end"/>
      </w:r>
      <w:r>
        <w:t xml:space="preserve"> at pp. 2-3; Coleman, supra note </w:t>
      </w:r>
      <w:r>
        <w:fldChar w:fldCharType="begin"/>
      </w:r>
      <w:r>
        <w:instrText xml:space="preserve"> NOTEREF _Ref479433956 \h </w:instrText>
      </w:r>
      <w:r>
        <w:fldChar w:fldCharType="separate"/>
      </w:r>
      <w:r>
        <w:t>2</w:t>
      </w:r>
      <w:r>
        <w:fldChar w:fldCharType="end"/>
      </w:r>
      <w:r>
        <w:t>, at pp 28-30</w:t>
      </w:r>
    </w:p>
  </w:footnote>
  <w:footnote w:id="10">
    <w:p w14:paraId="196CE99E" w14:textId="28AF6408" w:rsidR="008A474B" w:rsidRPr="00A81223" w:rsidRDefault="008A474B" w:rsidP="00920E82">
      <w:pPr>
        <w:pStyle w:val="FootnoteText"/>
      </w:pPr>
      <w:r>
        <w:rPr>
          <w:rStyle w:val="FootnoteReference"/>
        </w:rPr>
        <w:footnoteRef/>
      </w:r>
      <w:r>
        <w:t xml:space="preserve"> </w:t>
      </w:r>
      <w:r w:rsidRPr="00A81223">
        <w:t>UN General Assembly, Universal Declaration of Human Rights, 10 December 1948, 217 A (III</w:t>
      </w:r>
      <w:r>
        <w:t>) (UDHR), Art. 12 (4)</w:t>
      </w:r>
    </w:p>
  </w:footnote>
  <w:footnote w:id="11">
    <w:p w14:paraId="024B1191" w14:textId="473E0FDB" w:rsidR="008A474B" w:rsidRPr="00A81223" w:rsidRDefault="008A474B" w:rsidP="00920E82">
      <w:pPr>
        <w:pStyle w:val="FootnoteText"/>
      </w:pPr>
      <w:r>
        <w:rPr>
          <w:rStyle w:val="FootnoteReference"/>
        </w:rPr>
        <w:footnoteRef/>
      </w:r>
      <w:r>
        <w:t xml:space="preserve"> UN General Assembly, </w:t>
      </w:r>
      <w:r>
        <w:rPr>
          <w:i/>
          <w:iCs/>
        </w:rPr>
        <w:t>International Covenant on Civil and Political Rights</w:t>
      </w:r>
      <w:r>
        <w:t xml:space="preserve">, 16 December 1966, United Nations, Treaty Series, vol. 999, p. 171, (ICCPR), Art. </w:t>
      </w:r>
      <w:r w:rsidRPr="00A81223">
        <w:t>12(4)</w:t>
      </w:r>
    </w:p>
  </w:footnote>
  <w:footnote w:id="12">
    <w:p w14:paraId="14ED9FE0" w14:textId="58A0DDA7" w:rsidR="008A474B" w:rsidRDefault="008A474B" w:rsidP="00920E82">
      <w:pPr>
        <w:pStyle w:val="FootnoteText"/>
      </w:pPr>
      <w:r>
        <w:rPr>
          <w:rStyle w:val="FootnoteReference"/>
        </w:rPr>
        <w:footnoteRef/>
      </w:r>
      <w:r>
        <w:t xml:space="preserve"> Council of Europe, </w:t>
      </w:r>
      <w:r>
        <w:rPr>
          <w:i/>
          <w:iCs/>
        </w:rPr>
        <w:t>European Convention for the Protection of Human Rights and Fundamental Freedoms, as amended by Protocols Nos. 11 and 14</w:t>
      </w:r>
      <w:r>
        <w:t>, 4 November 1950, ETS 5, (ECHR), Art. 3(2)</w:t>
      </w:r>
    </w:p>
  </w:footnote>
  <w:footnote w:id="13">
    <w:p w14:paraId="7B1B10B1" w14:textId="327F7C96" w:rsidR="008A474B" w:rsidRDefault="008A474B" w:rsidP="00920E82">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xml:space="preserve">, at pp </w:t>
      </w:r>
      <w:r w:rsidRPr="00A81223">
        <w:t>28-29</w:t>
      </w:r>
    </w:p>
  </w:footnote>
  <w:footnote w:id="14">
    <w:p w14:paraId="585C4F9C" w14:textId="7EE304D9" w:rsidR="008A474B" w:rsidRDefault="008A474B" w:rsidP="00920E82">
      <w:pPr>
        <w:pStyle w:val="FootnoteText"/>
      </w:pPr>
      <w:r>
        <w:rPr>
          <w:rStyle w:val="FootnoteReference"/>
        </w:rPr>
        <w:footnoteRef/>
      </w:r>
      <w:r>
        <w:t xml:space="preserve"> </w:t>
      </w:r>
      <w:r>
        <w:rPr>
          <w:rStyle w:val="selectable"/>
        </w:rPr>
        <w:t xml:space="preserve">Vincent </w:t>
      </w:r>
      <w:proofErr w:type="spellStart"/>
      <w:r>
        <w:rPr>
          <w:rStyle w:val="selectable"/>
        </w:rPr>
        <w:t>Chetail</w:t>
      </w:r>
      <w:proofErr w:type="spellEnd"/>
      <w:r>
        <w:rPr>
          <w:rStyle w:val="selectable"/>
        </w:rPr>
        <w:t xml:space="preserve">, 'Freedom </w:t>
      </w:r>
      <w:proofErr w:type="gramStart"/>
      <w:r>
        <w:rPr>
          <w:rStyle w:val="selectable"/>
        </w:rPr>
        <w:t>Of</w:t>
      </w:r>
      <w:proofErr w:type="gramEnd"/>
      <w:r>
        <w:rPr>
          <w:rStyle w:val="selectable"/>
        </w:rPr>
        <w:t xml:space="preserve"> Movement And Transnational Migrations: A Human Rights Perspective', </w:t>
      </w:r>
      <w:r>
        <w:rPr>
          <w:rStyle w:val="selectable"/>
          <w:i/>
          <w:iCs/>
        </w:rPr>
        <w:t>Migration and International Legal Norms</w:t>
      </w:r>
      <w:r>
        <w:rPr>
          <w:rStyle w:val="selectable"/>
        </w:rPr>
        <w:t xml:space="preserve"> (1st </w:t>
      </w:r>
      <w:proofErr w:type="spellStart"/>
      <w:r>
        <w:rPr>
          <w:rStyle w:val="selectable"/>
        </w:rPr>
        <w:t>edn</w:t>
      </w:r>
      <w:proofErr w:type="spellEnd"/>
      <w:r>
        <w:rPr>
          <w:rStyle w:val="selectable"/>
        </w:rPr>
        <w:t xml:space="preserve">, TMC Asser Press 2003). 48, 57-58; </w:t>
      </w:r>
      <w:proofErr w:type="spellStart"/>
      <w:r>
        <w:rPr>
          <w:rStyle w:val="selectable"/>
        </w:rPr>
        <w:t>Mariagiulia</w:t>
      </w:r>
      <w:proofErr w:type="spellEnd"/>
      <w:r>
        <w:rPr>
          <w:rStyle w:val="selectable"/>
        </w:rPr>
        <w:t xml:space="preserve"> Giuffre, 'Readmission Agreements </w:t>
      </w:r>
      <w:proofErr w:type="gramStart"/>
      <w:r>
        <w:rPr>
          <w:rStyle w:val="selectable"/>
        </w:rPr>
        <w:t>And</w:t>
      </w:r>
      <w:proofErr w:type="gramEnd"/>
      <w:r>
        <w:rPr>
          <w:rStyle w:val="selectable"/>
        </w:rPr>
        <w:t xml:space="preserve"> Refugee Rights: From A Critique To A Proposal' (2013) 32 Refugee Survey Quarterly. 79, 82; Coleman, supra note </w:t>
      </w:r>
      <w:r>
        <w:rPr>
          <w:rStyle w:val="selectable"/>
        </w:rPr>
        <w:fldChar w:fldCharType="begin"/>
      </w:r>
      <w:r>
        <w:rPr>
          <w:rStyle w:val="selectable"/>
        </w:rPr>
        <w:instrText xml:space="preserve"> NOTEREF _Ref479433956 \h </w:instrText>
      </w:r>
      <w:r>
        <w:rPr>
          <w:rStyle w:val="selectable"/>
        </w:rPr>
      </w:r>
      <w:r>
        <w:rPr>
          <w:rStyle w:val="selectable"/>
        </w:rPr>
        <w:fldChar w:fldCharType="separate"/>
      </w:r>
      <w:r>
        <w:rPr>
          <w:rStyle w:val="selectable"/>
        </w:rPr>
        <w:t>2</w:t>
      </w:r>
      <w:r>
        <w:rPr>
          <w:rStyle w:val="selectable"/>
        </w:rPr>
        <w:fldChar w:fldCharType="end"/>
      </w:r>
      <w:r>
        <w:rPr>
          <w:rStyle w:val="selectable"/>
        </w:rPr>
        <w:t>, at pp. 29-30</w:t>
      </w:r>
    </w:p>
  </w:footnote>
  <w:footnote w:id="15">
    <w:p w14:paraId="6866F082" w14:textId="72230477" w:rsidR="008A474B" w:rsidRDefault="008A474B" w:rsidP="00920E82">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xml:space="preserve">, at pp </w:t>
      </w:r>
      <w:r w:rsidRPr="00A81223">
        <w:t>28-29</w:t>
      </w:r>
    </w:p>
  </w:footnote>
  <w:footnote w:id="16">
    <w:p w14:paraId="3FAC194B" w14:textId="7AEE29D3" w:rsidR="008A474B" w:rsidRDefault="008A474B" w:rsidP="0088380F">
      <w:pPr>
        <w:pStyle w:val="FootnoteText"/>
      </w:pPr>
      <w:r>
        <w:rPr>
          <w:rStyle w:val="FootnoteReference"/>
        </w:rPr>
        <w:footnoteRef/>
      </w:r>
      <w:r>
        <w:t xml:space="preserve"> </w:t>
      </w:r>
      <w:r w:rsidRPr="00AF6191">
        <w:rPr>
          <w:rStyle w:val="selectable"/>
          <w:shd w:val="clear" w:color="auto" w:fill="FFFFFF" w:themeFill="background1"/>
        </w:rPr>
        <w:t xml:space="preserve">Daphne </w:t>
      </w:r>
      <w:proofErr w:type="spellStart"/>
      <w:r w:rsidRPr="00AF6191">
        <w:rPr>
          <w:rStyle w:val="selectable"/>
          <w:shd w:val="clear" w:color="auto" w:fill="FFFFFF" w:themeFill="background1"/>
        </w:rPr>
        <w:t>Bouteillet</w:t>
      </w:r>
      <w:proofErr w:type="spellEnd"/>
      <w:r w:rsidRPr="00AF6191">
        <w:rPr>
          <w:rStyle w:val="selectable"/>
          <w:shd w:val="clear" w:color="auto" w:fill="FFFFFF" w:themeFill="background1"/>
        </w:rPr>
        <w:t xml:space="preserve">-Paquet, 'Passing </w:t>
      </w:r>
      <w:proofErr w:type="gramStart"/>
      <w:r w:rsidRPr="00AF6191">
        <w:rPr>
          <w:rStyle w:val="selectable"/>
          <w:shd w:val="clear" w:color="auto" w:fill="FFFFFF" w:themeFill="background1"/>
        </w:rPr>
        <w:t>The</w:t>
      </w:r>
      <w:proofErr w:type="gramEnd"/>
      <w:r w:rsidRPr="00AF6191">
        <w:rPr>
          <w:rStyle w:val="selectable"/>
          <w:shd w:val="clear" w:color="auto" w:fill="FFFFFF" w:themeFill="background1"/>
        </w:rPr>
        <w:t xml:space="preserve"> Buck: A Critical Analysis Of The Readmission Policy Implemented By The European Union And Its Member States' (2003) 5 European Journal of Migration and Law 359,</w:t>
      </w:r>
      <w:r w:rsidRPr="00AF6191">
        <w:rPr>
          <w:shd w:val="clear" w:color="auto" w:fill="FFFFFF" w:themeFill="background1"/>
        </w:rPr>
        <w:t xml:space="preserve"> 361; </w:t>
      </w:r>
      <w:r>
        <w:t xml:space="preserve">Coleman, supra note </w:t>
      </w:r>
      <w:r>
        <w:rPr>
          <w:highlight w:val="yellow"/>
        </w:rPr>
        <w:fldChar w:fldCharType="begin"/>
      </w:r>
      <w:r>
        <w:instrText xml:space="preserve"> NOTEREF _Ref479433956 \h </w:instrText>
      </w:r>
      <w:r>
        <w:rPr>
          <w:highlight w:val="yellow"/>
        </w:rPr>
      </w:r>
      <w:r>
        <w:rPr>
          <w:highlight w:val="yellow"/>
        </w:rPr>
        <w:fldChar w:fldCharType="separate"/>
      </w:r>
      <w:r>
        <w:t>2</w:t>
      </w:r>
      <w:r>
        <w:rPr>
          <w:highlight w:val="yellow"/>
        </w:rPr>
        <w:fldChar w:fldCharType="end"/>
      </w:r>
      <w:r>
        <w:t>, at pp. 33</w:t>
      </w:r>
    </w:p>
  </w:footnote>
  <w:footnote w:id="17">
    <w:p w14:paraId="1D167F8B" w14:textId="7909405A" w:rsidR="008A474B" w:rsidRDefault="008A474B" w:rsidP="00920E82">
      <w:pPr>
        <w:pStyle w:val="FootnoteText"/>
      </w:pPr>
      <w:r>
        <w:rPr>
          <w:rStyle w:val="FootnoteReference"/>
        </w:rPr>
        <w:footnoteRef/>
      </w:r>
      <w:r>
        <w:t xml:space="preserve"> </w:t>
      </w:r>
      <w:r w:rsidRPr="00AF6191">
        <w:rPr>
          <w:rStyle w:val="selectable"/>
        </w:rPr>
        <w:t xml:space="preserve">Marion </w:t>
      </w:r>
      <w:proofErr w:type="spellStart"/>
      <w:r w:rsidRPr="00AF6191">
        <w:rPr>
          <w:rStyle w:val="selectable"/>
        </w:rPr>
        <w:t>Panizzon</w:t>
      </w:r>
      <w:proofErr w:type="spellEnd"/>
      <w:r w:rsidRPr="00AF6191">
        <w:rPr>
          <w:rStyle w:val="selectable"/>
        </w:rPr>
        <w:t xml:space="preserve">, supra note </w:t>
      </w:r>
      <w:r w:rsidRPr="00AF6191">
        <w:rPr>
          <w:rStyle w:val="selectable"/>
        </w:rPr>
        <w:fldChar w:fldCharType="begin"/>
      </w:r>
      <w:r w:rsidRPr="00AF6191">
        <w:rPr>
          <w:rStyle w:val="selectable"/>
        </w:rPr>
        <w:instrText xml:space="preserve"> NOTEREF _Ref479435745 \h </w:instrText>
      </w:r>
      <w:r>
        <w:rPr>
          <w:rStyle w:val="selectable"/>
        </w:rPr>
        <w:instrText xml:space="preserve"> \* MERGEFORMAT </w:instrText>
      </w:r>
      <w:r w:rsidRPr="00AF6191">
        <w:rPr>
          <w:rStyle w:val="selectable"/>
        </w:rPr>
      </w:r>
      <w:r w:rsidRPr="00AF6191">
        <w:rPr>
          <w:rStyle w:val="selectable"/>
        </w:rPr>
        <w:fldChar w:fldCharType="separate"/>
      </w:r>
      <w:r>
        <w:rPr>
          <w:rStyle w:val="selectable"/>
        </w:rPr>
        <w:t>8</w:t>
      </w:r>
      <w:r w:rsidRPr="00AF6191">
        <w:rPr>
          <w:rStyle w:val="selectable"/>
        </w:rPr>
        <w:fldChar w:fldCharType="end"/>
      </w:r>
      <w:r w:rsidRPr="00AF6191">
        <w:rPr>
          <w:rStyle w:val="selectable"/>
        </w:rPr>
        <w:t>, at pp.107-108</w:t>
      </w:r>
      <w:r>
        <w:rPr>
          <w:rStyle w:val="selectable"/>
        </w:rPr>
        <w:t>;</w:t>
      </w:r>
      <w:r w:rsidRPr="00E928AC">
        <w:t xml:space="preserve"> </w:t>
      </w:r>
      <w:r>
        <w:t xml:space="preserve">Coleman, supra note </w:t>
      </w:r>
      <w:r>
        <w:fldChar w:fldCharType="begin"/>
      </w:r>
      <w:r>
        <w:instrText xml:space="preserve"> NOTEREF _Ref479433956 \h </w:instrText>
      </w:r>
      <w:r>
        <w:fldChar w:fldCharType="separate"/>
      </w:r>
      <w:r>
        <w:t>2</w:t>
      </w:r>
      <w:r>
        <w:fldChar w:fldCharType="end"/>
      </w:r>
      <w:r>
        <w:t>, at pp. 35-38</w:t>
      </w:r>
    </w:p>
  </w:footnote>
  <w:footnote w:id="18">
    <w:p w14:paraId="0327B039" w14:textId="7DBF8079" w:rsidR="008A474B" w:rsidRDefault="008A474B" w:rsidP="00920E82">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at pp. 43</w:t>
      </w:r>
    </w:p>
  </w:footnote>
  <w:footnote w:id="19">
    <w:p w14:paraId="6C748399" w14:textId="030B98A0" w:rsidR="008A474B" w:rsidRDefault="008A474B">
      <w:pPr>
        <w:pStyle w:val="FootnoteText"/>
      </w:pPr>
      <w:r>
        <w:rPr>
          <w:rStyle w:val="FootnoteReference"/>
        </w:rPr>
        <w:footnoteRef/>
      </w:r>
      <w:r>
        <w:rPr>
          <w:rStyle w:val="selectable"/>
        </w:rPr>
        <w:t xml:space="preserve"> Jean-Pierre </w:t>
      </w:r>
      <w:proofErr w:type="spellStart"/>
      <w:r>
        <w:rPr>
          <w:rStyle w:val="selectable"/>
        </w:rPr>
        <w:t>Cassarino</w:t>
      </w:r>
      <w:proofErr w:type="spellEnd"/>
      <w:r>
        <w:rPr>
          <w:rStyle w:val="selectable"/>
        </w:rPr>
        <w:t>, 'Readmission Policy In The European Union' (European Parliament 2010) 1,</w:t>
      </w:r>
      <w:r>
        <w:t xml:space="preserve"> 17-18</w:t>
      </w:r>
    </w:p>
  </w:footnote>
  <w:footnote w:id="20">
    <w:p w14:paraId="24EB2071" w14:textId="77777777" w:rsidR="008A474B" w:rsidRDefault="008A474B" w:rsidP="00952E20">
      <w:pPr>
        <w:pStyle w:val="FootnoteText"/>
      </w:pPr>
      <w:r>
        <w:rPr>
          <w:rStyle w:val="FootnoteReference"/>
        </w:rPr>
        <w:footnoteRef/>
      </w:r>
      <w:r>
        <w:t xml:space="preserve"> </w:t>
      </w:r>
      <w:r w:rsidRPr="003C0579">
        <w:t>Consolidated Version of the Treaty on the Functioning of the European Union art. [</w:t>
      </w:r>
      <w:r>
        <w:t>79</w:t>
      </w:r>
      <w:r w:rsidRPr="003C0579">
        <w:t>]</w:t>
      </w:r>
      <w:r>
        <w:t>[3], 2008 O.J. C 115/47</w:t>
      </w:r>
      <w:r w:rsidRPr="003C0579">
        <w:t xml:space="preserve"> [hereinafter TFEU].</w:t>
      </w:r>
      <w:r>
        <w:t xml:space="preserve"> (EC Treaty Art. 63(3)(b))</w:t>
      </w:r>
    </w:p>
  </w:footnote>
  <w:footnote w:id="21">
    <w:p w14:paraId="69985012" w14:textId="1FA7BB2B" w:rsidR="008A474B" w:rsidRDefault="008A474B">
      <w:pPr>
        <w:pStyle w:val="FootnoteText"/>
      </w:pPr>
      <w:r>
        <w:rPr>
          <w:rStyle w:val="FootnoteReference"/>
        </w:rPr>
        <w:footnoteRef/>
      </w:r>
      <w:r>
        <w:t xml:space="preserve"> Giuffre, supra note </w:t>
      </w:r>
      <w:r>
        <w:fldChar w:fldCharType="begin"/>
      </w:r>
      <w:r>
        <w:instrText xml:space="preserve"> NOTEREF _Ref479435745 \h </w:instrText>
      </w:r>
      <w:r>
        <w:fldChar w:fldCharType="separate"/>
      </w:r>
      <w:r>
        <w:t>8</w:t>
      </w:r>
      <w:r>
        <w:fldChar w:fldCharType="end"/>
      </w:r>
      <w:r>
        <w:t xml:space="preserve">, at pp. 6; Coleman, supra note </w:t>
      </w:r>
      <w:r>
        <w:fldChar w:fldCharType="begin"/>
      </w:r>
      <w:r>
        <w:instrText xml:space="preserve"> NOTEREF _Ref479433956 \h </w:instrText>
      </w:r>
      <w:r>
        <w:fldChar w:fldCharType="separate"/>
      </w:r>
      <w:r>
        <w:t>2</w:t>
      </w:r>
      <w:r>
        <w:fldChar w:fldCharType="end"/>
      </w:r>
      <w:r>
        <w:t>, at pp. 62</w:t>
      </w:r>
    </w:p>
  </w:footnote>
  <w:footnote w:id="22">
    <w:p w14:paraId="2D3B93BA" w14:textId="45FA981E" w:rsidR="008A474B" w:rsidRDefault="008A474B" w:rsidP="00920E82">
      <w:pPr>
        <w:pStyle w:val="FootnoteText"/>
      </w:pPr>
      <w:r>
        <w:rPr>
          <w:rStyle w:val="FootnoteReference"/>
        </w:rPr>
        <w:footnoteRef/>
      </w:r>
      <w:r>
        <w:t xml:space="preserve"> </w:t>
      </w:r>
      <w:proofErr w:type="spellStart"/>
      <w:r>
        <w:rPr>
          <w:rStyle w:val="selectable"/>
        </w:rPr>
        <w:t>Panizzon</w:t>
      </w:r>
      <w:proofErr w:type="spellEnd"/>
      <w:r>
        <w:rPr>
          <w:rStyle w:val="selectable"/>
        </w:rPr>
        <w:t xml:space="preserve">, supra note </w:t>
      </w:r>
      <w:r>
        <w:rPr>
          <w:rStyle w:val="selectable"/>
        </w:rPr>
        <w:fldChar w:fldCharType="begin"/>
      </w:r>
      <w:r>
        <w:rPr>
          <w:rStyle w:val="selectable"/>
        </w:rPr>
        <w:instrText xml:space="preserve"> NOTEREF _Ref479435745 \h </w:instrText>
      </w:r>
      <w:r>
        <w:rPr>
          <w:rStyle w:val="selectable"/>
        </w:rPr>
      </w:r>
      <w:r>
        <w:rPr>
          <w:rStyle w:val="selectable"/>
        </w:rPr>
        <w:fldChar w:fldCharType="separate"/>
      </w:r>
      <w:r>
        <w:rPr>
          <w:rStyle w:val="selectable"/>
        </w:rPr>
        <w:t>8</w:t>
      </w:r>
      <w:r>
        <w:rPr>
          <w:rStyle w:val="selectable"/>
        </w:rPr>
        <w:fldChar w:fldCharType="end"/>
      </w:r>
      <w:r>
        <w:rPr>
          <w:rStyle w:val="selectable"/>
        </w:rPr>
        <w:t xml:space="preserve">, at pp. 107-108; </w:t>
      </w:r>
      <w:r>
        <w:t xml:space="preserve">Giuffre, supra note </w:t>
      </w:r>
      <w:r>
        <w:fldChar w:fldCharType="begin"/>
      </w:r>
      <w:r>
        <w:instrText xml:space="preserve"> NOTEREF _Ref479435745 \h </w:instrText>
      </w:r>
      <w:r>
        <w:fldChar w:fldCharType="separate"/>
      </w:r>
      <w:r>
        <w:t>8</w:t>
      </w:r>
      <w:r>
        <w:fldChar w:fldCharType="end"/>
      </w:r>
      <w:r>
        <w:t xml:space="preserve">, at pp. 6; Coleman, supra note </w:t>
      </w:r>
      <w:r>
        <w:fldChar w:fldCharType="begin"/>
      </w:r>
      <w:r>
        <w:instrText xml:space="preserve"> NOTEREF _Ref479433956 \h </w:instrText>
      </w:r>
      <w:r>
        <w:fldChar w:fldCharType="separate"/>
      </w:r>
      <w:r>
        <w:t>2</w:t>
      </w:r>
      <w:r>
        <w:fldChar w:fldCharType="end"/>
      </w:r>
      <w:r>
        <w:t>, at pp. 67</w:t>
      </w:r>
    </w:p>
  </w:footnote>
  <w:footnote w:id="23">
    <w:p w14:paraId="619F1FA9" w14:textId="4F542586" w:rsidR="008A474B" w:rsidRDefault="008A474B" w:rsidP="00920E82">
      <w:pPr>
        <w:pStyle w:val="FootnoteText"/>
      </w:pPr>
      <w:r>
        <w:rPr>
          <w:rStyle w:val="FootnoteReference"/>
        </w:rPr>
        <w:footnoteRef/>
      </w:r>
      <w:r>
        <w:t xml:space="preserve"> UN General Assembly, </w:t>
      </w:r>
      <w:r>
        <w:rPr>
          <w:i/>
          <w:iCs/>
        </w:rPr>
        <w:t>Convention Relating to the Status of Refugees</w:t>
      </w:r>
      <w:r>
        <w:t xml:space="preserve">, 28 July 1951, United Nations, Treaty Series, vol. 189, p. 137 (Refugee Convention), Art. 33(1); </w:t>
      </w:r>
      <w:proofErr w:type="spellStart"/>
      <w:r>
        <w:rPr>
          <w:rStyle w:val="selectable"/>
        </w:rPr>
        <w:t>Panizzon</w:t>
      </w:r>
      <w:proofErr w:type="spellEnd"/>
      <w:r>
        <w:rPr>
          <w:rStyle w:val="selectable"/>
        </w:rPr>
        <w:t xml:space="preserve">, supra note </w:t>
      </w:r>
      <w:r>
        <w:rPr>
          <w:rStyle w:val="selectable"/>
        </w:rPr>
        <w:fldChar w:fldCharType="begin"/>
      </w:r>
      <w:r>
        <w:rPr>
          <w:rStyle w:val="selectable"/>
        </w:rPr>
        <w:instrText xml:space="preserve"> NOTEREF _Ref479435745 \h </w:instrText>
      </w:r>
      <w:r>
        <w:rPr>
          <w:rStyle w:val="selectable"/>
        </w:rPr>
      </w:r>
      <w:r>
        <w:rPr>
          <w:rStyle w:val="selectable"/>
        </w:rPr>
        <w:fldChar w:fldCharType="separate"/>
      </w:r>
      <w:r>
        <w:rPr>
          <w:rStyle w:val="selectable"/>
        </w:rPr>
        <w:t>8</w:t>
      </w:r>
      <w:r>
        <w:rPr>
          <w:rStyle w:val="selectable"/>
        </w:rPr>
        <w:fldChar w:fldCharType="end"/>
      </w:r>
      <w:r>
        <w:rPr>
          <w:rStyle w:val="selectable"/>
        </w:rPr>
        <w:t xml:space="preserve">, at pp. 107-108; Coleman, supra note </w:t>
      </w:r>
      <w:r>
        <w:rPr>
          <w:rStyle w:val="selectable"/>
        </w:rPr>
        <w:fldChar w:fldCharType="begin"/>
      </w:r>
      <w:r>
        <w:rPr>
          <w:rStyle w:val="selectable"/>
        </w:rPr>
        <w:instrText xml:space="preserve"> NOTEREF _Ref479433956 \h </w:instrText>
      </w:r>
      <w:r>
        <w:rPr>
          <w:rStyle w:val="selectable"/>
        </w:rPr>
      </w:r>
      <w:r>
        <w:rPr>
          <w:rStyle w:val="selectable"/>
        </w:rPr>
        <w:fldChar w:fldCharType="separate"/>
      </w:r>
      <w:r>
        <w:rPr>
          <w:rStyle w:val="selectable"/>
        </w:rPr>
        <w:t>2</w:t>
      </w:r>
      <w:r>
        <w:rPr>
          <w:rStyle w:val="selectable"/>
        </w:rPr>
        <w:fldChar w:fldCharType="end"/>
      </w:r>
      <w:r>
        <w:rPr>
          <w:rStyle w:val="selectable"/>
        </w:rPr>
        <w:t>, at pp. 231-235</w:t>
      </w:r>
    </w:p>
  </w:footnote>
  <w:footnote w:id="24">
    <w:p w14:paraId="308E6F1C" w14:textId="5B1856A5" w:rsidR="008A474B" w:rsidRDefault="008A474B" w:rsidP="00920E82">
      <w:pPr>
        <w:pStyle w:val="FootnoteText"/>
      </w:pPr>
      <w:r>
        <w:rPr>
          <w:rStyle w:val="FootnoteReference"/>
        </w:rPr>
        <w:footnoteRef/>
      </w:r>
      <w:r>
        <w:t xml:space="preserve"> Refugee Convention, supra note </w:t>
      </w:r>
      <w:r>
        <w:fldChar w:fldCharType="begin"/>
      </w:r>
      <w:r>
        <w:instrText xml:space="preserve"> NOTEREF _Ref479446883 \h </w:instrText>
      </w:r>
      <w:r>
        <w:fldChar w:fldCharType="separate"/>
      </w:r>
      <w:r>
        <w:t>23</w:t>
      </w:r>
      <w:r>
        <w:fldChar w:fldCharType="end"/>
      </w:r>
      <w:r>
        <w:t>, Art. 33(1)</w:t>
      </w:r>
    </w:p>
  </w:footnote>
  <w:footnote w:id="25">
    <w:p w14:paraId="63496168" w14:textId="350E6261" w:rsidR="008A474B" w:rsidRDefault="008A474B" w:rsidP="00920E82">
      <w:pPr>
        <w:pStyle w:val="FootnoteText"/>
      </w:pPr>
      <w:r>
        <w:rPr>
          <w:rStyle w:val="FootnoteReference"/>
        </w:rPr>
        <w:footnoteRef/>
      </w:r>
      <w:r>
        <w:t xml:space="preserve"> UDHR, supra note </w:t>
      </w:r>
      <w:r>
        <w:fldChar w:fldCharType="begin"/>
      </w:r>
      <w:r>
        <w:instrText xml:space="preserve"> NOTEREF _Ref479446922 \h </w:instrText>
      </w:r>
      <w:r>
        <w:fldChar w:fldCharType="separate"/>
      </w:r>
      <w:r>
        <w:t>10</w:t>
      </w:r>
      <w:r>
        <w:fldChar w:fldCharType="end"/>
      </w:r>
      <w:r>
        <w:t>, Art. 14(1)</w:t>
      </w:r>
    </w:p>
  </w:footnote>
  <w:footnote w:id="26">
    <w:p w14:paraId="25A20AED" w14:textId="77777777" w:rsidR="008A474B" w:rsidRDefault="008A474B" w:rsidP="006370D9">
      <w:pPr>
        <w:pStyle w:val="FootnoteText"/>
      </w:pPr>
      <w:r>
        <w:rPr>
          <w:rStyle w:val="FootnoteReference"/>
        </w:rPr>
        <w:footnoteRef/>
      </w:r>
      <w:r>
        <w:t xml:space="preserve"> UN General Assembly, Convention Against Torture and Other Cruel, Inhuman or Degrading Treatment or Punishment, 10 December 1984, United Nations, Treaty Series, vol. 1465, p. 85</w:t>
      </w:r>
    </w:p>
    <w:p w14:paraId="1DDD2A8C" w14:textId="33AF5500" w:rsidR="008A474B" w:rsidRDefault="008A474B" w:rsidP="006370D9">
      <w:pPr>
        <w:pStyle w:val="FootnoteText"/>
      </w:pPr>
      <w:r>
        <w:t>UN General Assembly, International Convention for the Protection of All Persons from Enforced Disappearance, 20 December 2006, Art. 3</w:t>
      </w:r>
    </w:p>
  </w:footnote>
  <w:footnote w:id="27">
    <w:p w14:paraId="112AC3A0" w14:textId="66F8555A" w:rsidR="008A474B" w:rsidRDefault="008A474B" w:rsidP="00920E82">
      <w:pPr>
        <w:pStyle w:val="FootnoteText"/>
      </w:pPr>
      <w:r>
        <w:rPr>
          <w:rStyle w:val="FootnoteReference"/>
        </w:rPr>
        <w:footnoteRef/>
      </w:r>
      <w:r>
        <w:t xml:space="preserve"> ICCPR, supra note </w:t>
      </w:r>
      <w:r>
        <w:fldChar w:fldCharType="begin"/>
      </w:r>
      <w:r>
        <w:instrText xml:space="preserve"> NOTEREF _Ref479447098 \h </w:instrText>
      </w:r>
      <w:r>
        <w:fldChar w:fldCharType="separate"/>
      </w:r>
      <w:r>
        <w:t>11</w:t>
      </w:r>
      <w:r>
        <w:fldChar w:fldCharType="end"/>
      </w:r>
      <w:r>
        <w:t>, Art.7</w:t>
      </w:r>
    </w:p>
  </w:footnote>
  <w:footnote w:id="28">
    <w:p w14:paraId="309F99BB" w14:textId="4E65E6D6" w:rsidR="008A474B" w:rsidRDefault="008A474B" w:rsidP="00920E82">
      <w:pPr>
        <w:pStyle w:val="FootnoteText"/>
      </w:pPr>
      <w:r>
        <w:rPr>
          <w:rStyle w:val="FootnoteReference"/>
        </w:rPr>
        <w:footnoteRef/>
      </w:r>
      <w:r>
        <w:t xml:space="preserve"> </w:t>
      </w:r>
      <w:r w:rsidRPr="0030723B">
        <w:rPr>
          <w:rStyle w:val="selectable"/>
        </w:rPr>
        <w:t>Maria-Teresa Gil-</w:t>
      </w:r>
      <w:proofErr w:type="spellStart"/>
      <w:r w:rsidRPr="0030723B">
        <w:rPr>
          <w:rStyle w:val="selectable"/>
        </w:rPr>
        <w:t>Bazo</w:t>
      </w:r>
      <w:proofErr w:type="spellEnd"/>
      <w:r w:rsidRPr="0030723B">
        <w:rPr>
          <w:rStyle w:val="selectable"/>
        </w:rPr>
        <w:t>, 'Refugee Protection Under International Human Rights Law: From Non-</w:t>
      </w:r>
      <w:proofErr w:type="spellStart"/>
      <w:r w:rsidRPr="0030723B">
        <w:rPr>
          <w:rStyle w:val="selectable"/>
        </w:rPr>
        <w:t>Refoulement</w:t>
      </w:r>
      <w:proofErr w:type="spellEnd"/>
      <w:r w:rsidRPr="0030723B">
        <w:rPr>
          <w:rStyle w:val="selectable"/>
        </w:rPr>
        <w:t xml:space="preserve"> To Residence </w:t>
      </w:r>
      <w:proofErr w:type="gramStart"/>
      <w:r w:rsidRPr="0030723B">
        <w:rPr>
          <w:rStyle w:val="selectable"/>
        </w:rPr>
        <w:t>And</w:t>
      </w:r>
      <w:proofErr w:type="gramEnd"/>
      <w:r w:rsidRPr="0030723B">
        <w:rPr>
          <w:rStyle w:val="selectable"/>
        </w:rPr>
        <w:t xml:space="preserve"> Citizenship' (2015) 34 Refugee Survey Quarterly.</w:t>
      </w:r>
      <w:r>
        <w:rPr>
          <w:rStyle w:val="selectable"/>
        </w:rPr>
        <w:t xml:space="preserve"> </w:t>
      </w:r>
      <w:r w:rsidRPr="0030723B">
        <w:rPr>
          <w:rStyle w:val="selectable"/>
        </w:rPr>
        <w:t>11, 13-14</w:t>
      </w:r>
    </w:p>
  </w:footnote>
  <w:footnote w:id="29">
    <w:p w14:paraId="2831AFB1" w14:textId="53E580E9" w:rsidR="008A474B" w:rsidRDefault="008A474B">
      <w:pPr>
        <w:pStyle w:val="FootnoteText"/>
      </w:pPr>
      <w:r>
        <w:rPr>
          <w:rStyle w:val="FootnoteReference"/>
        </w:rPr>
        <w:footnoteRef/>
      </w:r>
      <w:r>
        <w:t xml:space="preserve"> </w:t>
      </w:r>
      <w:r w:rsidRPr="0030723B">
        <w:t xml:space="preserve">Guy Goodwin-Gill, 'The Right To Seek </w:t>
      </w:r>
      <w:r w:rsidRPr="00655448">
        <w:t>Asylum</w:t>
      </w:r>
      <w:r w:rsidRPr="0030723B">
        <w:t>: Interception At Sea And The Principle Of Non-</w:t>
      </w:r>
      <w:proofErr w:type="spellStart"/>
      <w:r w:rsidRPr="0030723B">
        <w:t>Refoulement</w:t>
      </w:r>
      <w:proofErr w:type="spellEnd"/>
      <w:r w:rsidRPr="0030723B">
        <w:t>' (2011) 23 Inter</w:t>
      </w:r>
      <w:r>
        <w:t>national Journal of Refugee Law 443, 444</w:t>
      </w:r>
    </w:p>
  </w:footnote>
  <w:footnote w:id="30">
    <w:p w14:paraId="75D97525" w14:textId="38A39D67" w:rsidR="008A474B" w:rsidRDefault="008A474B" w:rsidP="00920E82">
      <w:pPr>
        <w:pStyle w:val="FootnoteText"/>
      </w:pPr>
      <w:r>
        <w:rPr>
          <w:rStyle w:val="FootnoteReference"/>
        </w:rPr>
        <w:footnoteRef/>
      </w:r>
      <w:r>
        <w:t xml:space="preserve"> </w:t>
      </w:r>
      <w:r w:rsidRPr="0030723B">
        <w:t>Cathryn Costello, 'Courting Access To Asylum In Europe: Recent Supranational Jurisprudence Explored' (2</w:t>
      </w:r>
      <w:r>
        <w:t>012) 12 Human Rights Law Review 287,</w:t>
      </w:r>
      <w:r w:rsidRPr="0030723B">
        <w:t xml:space="preserve"> </w:t>
      </w:r>
      <w:r>
        <w:t>294</w:t>
      </w:r>
    </w:p>
  </w:footnote>
  <w:footnote w:id="31">
    <w:p w14:paraId="327000F5" w14:textId="5169886E" w:rsidR="008A474B" w:rsidRDefault="008A474B" w:rsidP="00920E82">
      <w:pPr>
        <w:pStyle w:val="FootnoteText"/>
      </w:pPr>
      <w:r>
        <w:rPr>
          <w:rStyle w:val="FootnoteReference"/>
        </w:rPr>
        <w:footnoteRef/>
      </w:r>
      <w:r>
        <w:t xml:space="preserve"> Gil-</w:t>
      </w:r>
      <w:proofErr w:type="spellStart"/>
      <w:r>
        <w:t>Bazo</w:t>
      </w:r>
      <w:proofErr w:type="spellEnd"/>
      <w:r>
        <w:t xml:space="preserve">, supra note </w:t>
      </w:r>
      <w:r>
        <w:fldChar w:fldCharType="begin"/>
      </w:r>
      <w:r>
        <w:instrText xml:space="preserve"> NOTEREF _Ref479447745 \h </w:instrText>
      </w:r>
      <w:r>
        <w:fldChar w:fldCharType="separate"/>
      </w:r>
      <w:r>
        <w:t>28</w:t>
      </w:r>
      <w:r>
        <w:fldChar w:fldCharType="end"/>
      </w:r>
      <w:r>
        <w:t xml:space="preserve">, at pp. 16; Coleman, supra note </w:t>
      </w:r>
      <w:r>
        <w:fldChar w:fldCharType="begin"/>
      </w:r>
      <w:r>
        <w:instrText xml:space="preserve"> NOTEREF _Ref479433956 \h </w:instrText>
      </w:r>
      <w:r>
        <w:fldChar w:fldCharType="separate"/>
      </w:r>
      <w:r>
        <w:t>2</w:t>
      </w:r>
      <w:r>
        <w:fldChar w:fldCharType="end"/>
      </w:r>
      <w:r>
        <w:t>, at pp. 257-260</w:t>
      </w:r>
    </w:p>
  </w:footnote>
  <w:footnote w:id="32">
    <w:p w14:paraId="0DE17BDE" w14:textId="77777777" w:rsidR="008A474B" w:rsidRDefault="008A474B" w:rsidP="00920E82">
      <w:pPr>
        <w:pStyle w:val="FootnoteText"/>
      </w:pPr>
      <w:r>
        <w:rPr>
          <w:rStyle w:val="FootnoteReference"/>
        </w:rPr>
        <w:footnoteRef/>
      </w:r>
      <w:r>
        <w:t xml:space="preserve"> </w:t>
      </w:r>
      <w:proofErr w:type="spellStart"/>
      <w:r w:rsidRPr="002042AA">
        <w:t>Soering</w:t>
      </w:r>
      <w:proofErr w:type="spellEnd"/>
      <w:r w:rsidRPr="002042AA">
        <w:t xml:space="preserve"> v The United Kingdom [1989] Council of Europe: European Court of Human Rights, 1/1989/161/217 (Council of Europe: European Court of Human Rights).</w:t>
      </w:r>
      <w:r>
        <w:t xml:space="preserve"> Para 88</w:t>
      </w:r>
    </w:p>
  </w:footnote>
  <w:footnote w:id="33">
    <w:p w14:paraId="1E59A45B" w14:textId="1CC9523E" w:rsidR="008A474B" w:rsidRDefault="008A474B" w:rsidP="00920E82">
      <w:pPr>
        <w:pStyle w:val="FootnoteText"/>
      </w:pPr>
      <w:r>
        <w:rPr>
          <w:rStyle w:val="FootnoteReference"/>
        </w:rPr>
        <w:footnoteRef/>
      </w:r>
      <w:r>
        <w:t xml:space="preserve"> Gil-</w:t>
      </w:r>
      <w:proofErr w:type="spellStart"/>
      <w:r>
        <w:t>Bazo</w:t>
      </w:r>
      <w:proofErr w:type="spellEnd"/>
      <w:r>
        <w:t xml:space="preserve">, supra note </w:t>
      </w:r>
      <w:r>
        <w:fldChar w:fldCharType="begin"/>
      </w:r>
      <w:r>
        <w:instrText xml:space="preserve"> NOTEREF _Ref479447745 \h </w:instrText>
      </w:r>
      <w:r>
        <w:fldChar w:fldCharType="separate"/>
      </w:r>
      <w:r>
        <w:t>28</w:t>
      </w:r>
      <w:r>
        <w:fldChar w:fldCharType="end"/>
      </w:r>
      <w:r>
        <w:t>, at pp. 17</w:t>
      </w:r>
    </w:p>
  </w:footnote>
  <w:footnote w:id="34">
    <w:p w14:paraId="7002ED14" w14:textId="77777777" w:rsidR="008A474B" w:rsidRDefault="008A474B" w:rsidP="00920E82">
      <w:pPr>
        <w:pStyle w:val="FootnoteText"/>
      </w:pPr>
      <w:r>
        <w:rPr>
          <w:rStyle w:val="FootnoteReference"/>
        </w:rPr>
        <w:footnoteRef/>
      </w:r>
      <w:r>
        <w:t xml:space="preserve"> </w:t>
      </w:r>
      <w:r>
        <w:rPr>
          <w:rStyle w:val="selectable"/>
          <w:i/>
          <w:iCs/>
        </w:rPr>
        <w:t xml:space="preserve">Cruz </w:t>
      </w:r>
      <w:proofErr w:type="spellStart"/>
      <w:r>
        <w:rPr>
          <w:rStyle w:val="selectable"/>
          <w:i/>
          <w:iCs/>
        </w:rPr>
        <w:t>Varas</w:t>
      </w:r>
      <w:proofErr w:type="spellEnd"/>
      <w:r>
        <w:rPr>
          <w:rStyle w:val="selectable"/>
          <w:i/>
          <w:iCs/>
        </w:rPr>
        <w:t xml:space="preserve"> and Others v Sweden</w:t>
      </w:r>
      <w:r>
        <w:rPr>
          <w:rStyle w:val="selectable"/>
        </w:rPr>
        <w:t xml:space="preserve"> [1991] European Court of Human Rights, 46/1990/237/307 (European Court of Human Rights).</w:t>
      </w:r>
      <w:r>
        <w:t xml:space="preserve"> Para 69-70</w:t>
      </w:r>
    </w:p>
  </w:footnote>
  <w:footnote w:id="35">
    <w:p w14:paraId="3B4E170B" w14:textId="77777777" w:rsidR="008A474B" w:rsidRDefault="008A474B" w:rsidP="00920E82">
      <w:pPr>
        <w:pStyle w:val="FootnoteText"/>
      </w:pPr>
      <w:r>
        <w:rPr>
          <w:rStyle w:val="FootnoteReference"/>
        </w:rPr>
        <w:footnoteRef/>
      </w:r>
      <w:r>
        <w:t xml:space="preserve"> </w:t>
      </w:r>
      <w:proofErr w:type="spellStart"/>
      <w:r w:rsidRPr="002042AA">
        <w:t>Saadi</w:t>
      </w:r>
      <w:proofErr w:type="spellEnd"/>
      <w:r w:rsidRPr="002042AA">
        <w:t xml:space="preserve"> v Italy [2008] European Court of Human Rights (ECHR); Grand Chamber, Appl. No. 37201/06 (European Court of Human Rights (ECHR); Grand Chamber).</w:t>
      </w:r>
    </w:p>
  </w:footnote>
  <w:footnote w:id="36">
    <w:p w14:paraId="3DD6E7B9" w14:textId="77777777" w:rsidR="008A474B" w:rsidRDefault="008A474B" w:rsidP="00920E82">
      <w:pPr>
        <w:pStyle w:val="FootnoteText"/>
      </w:pPr>
      <w:r>
        <w:rPr>
          <w:rStyle w:val="FootnoteReference"/>
        </w:rPr>
        <w:footnoteRef/>
      </w:r>
      <w:r>
        <w:t xml:space="preserve"> </w:t>
      </w:r>
      <w:r w:rsidRPr="002739FA">
        <w:t>European Union, Charter of Fundamental Rights of the European Union, 26 October 2012, 2012/C 326/02</w:t>
      </w:r>
      <w:r>
        <w:t>, Art.19(2)</w:t>
      </w:r>
    </w:p>
  </w:footnote>
  <w:footnote w:id="37">
    <w:p w14:paraId="78847F2B" w14:textId="20B54A07" w:rsidR="008A474B" w:rsidRDefault="008A474B" w:rsidP="00920E82">
      <w:pPr>
        <w:pStyle w:val="FootnoteText"/>
      </w:pPr>
      <w:r>
        <w:rPr>
          <w:rStyle w:val="FootnoteReference"/>
        </w:rPr>
        <w:footnoteRef/>
      </w:r>
      <w:r>
        <w:t xml:space="preserve"> </w:t>
      </w:r>
      <w:r>
        <w:rPr>
          <w:rStyle w:val="selectable"/>
        </w:rPr>
        <w:t xml:space="preserve">Steve Peers and others, </w:t>
      </w:r>
      <w:r>
        <w:rPr>
          <w:rStyle w:val="selectable"/>
          <w:i/>
          <w:iCs/>
        </w:rPr>
        <w:t xml:space="preserve">EU Immigration </w:t>
      </w:r>
      <w:proofErr w:type="gramStart"/>
      <w:r>
        <w:rPr>
          <w:rStyle w:val="selectable"/>
          <w:i/>
          <w:iCs/>
        </w:rPr>
        <w:t>And</w:t>
      </w:r>
      <w:proofErr w:type="gramEnd"/>
      <w:r>
        <w:rPr>
          <w:rStyle w:val="selectable"/>
          <w:i/>
          <w:iCs/>
        </w:rPr>
        <w:t xml:space="preserve"> Asylum Law (Text And Commentary)</w:t>
      </w:r>
      <w:r>
        <w:rPr>
          <w:rStyle w:val="selectable"/>
        </w:rPr>
        <w:t xml:space="preserve"> (2nd </w:t>
      </w:r>
      <w:proofErr w:type="spellStart"/>
      <w:r>
        <w:rPr>
          <w:rStyle w:val="selectable"/>
        </w:rPr>
        <w:t>edn</w:t>
      </w:r>
      <w:proofErr w:type="spellEnd"/>
      <w:r>
        <w:rPr>
          <w:rStyle w:val="selectable"/>
        </w:rPr>
        <w:t xml:space="preserve">, Brill </w:t>
      </w:r>
      <w:proofErr w:type="spellStart"/>
      <w:r>
        <w:rPr>
          <w:rStyle w:val="selectable"/>
        </w:rPr>
        <w:t>Nijhoff</w:t>
      </w:r>
      <w:proofErr w:type="spellEnd"/>
      <w:r>
        <w:rPr>
          <w:rStyle w:val="selectable"/>
        </w:rPr>
        <w:t xml:space="preserve"> 2015), 11; </w:t>
      </w:r>
      <w:r>
        <w:t xml:space="preserve">Costello, supra note </w:t>
      </w:r>
      <w:r>
        <w:fldChar w:fldCharType="begin"/>
      </w:r>
      <w:r>
        <w:instrText xml:space="preserve"> NOTEREF _Ref479447950 \h </w:instrText>
      </w:r>
      <w:r>
        <w:fldChar w:fldCharType="separate"/>
      </w:r>
      <w:r>
        <w:t>30</w:t>
      </w:r>
      <w:r>
        <w:fldChar w:fldCharType="end"/>
      </w:r>
      <w:r>
        <w:t>, at pp. 307</w:t>
      </w:r>
    </w:p>
  </w:footnote>
  <w:footnote w:id="38">
    <w:p w14:paraId="0E0F8218" w14:textId="3579EC02" w:rsidR="008A474B" w:rsidRDefault="008A474B" w:rsidP="00920E82">
      <w:pPr>
        <w:pStyle w:val="FootnoteText"/>
      </w:pPr>
      <w:r>
        <w:rPr>
          <w:rStyle w:val="FootnoteReference"/>
        </w:rPr>
        <w:footnoteRef/>
      </w:r>
      <w:r>
        <w:t xml:space="preserve"> Costello, supra note </w:t>
      </w:r>
      <w:r>
        <w:fldChar w:fldCharType="begin"/>
      </w:r>
      <w:r>
        <w:instrText xml:space="preserve"> NOTEREF _Ref479447950 \h </w:instrText>
      </w:r>
      <w:r>
        <w:fldChar w:fldCharType="separate"/>
      </w:r>
      <w:r>
        <w:t>30</w:t>
      </w:r>
      <w:r>
        <w:fldChar w:fldCharType="end"/>
      </w:r>
      <w:r>
        <w:t>, at pp. 327-328</w:t>
      </w:r>
    </w:p>
  </w:footnote>
  <w:footnote w:id="39">
    <w:p w14:paraId="044B5264" w14:textId="732B0CE2" w:rsidR="008A474B" w:rsidRDefault="008A474B">
      <w:pPr>
        <w:pStyle w:val="FootnoteText"/>
      </w:pPr>
      <w:r>
        <w:rPr>
          <w:rStyle w:val="FootnoteReference"/>
        </w:rPr>
        <w:footnoteRef/>
      </w:r>
      <w:r>
        <w:t xml:space="preserve"> Mink, supra note </w:t>
      </w:r>
      <w:r>
        <w:fldChar w:fldCharType="begin"/>
      </w:r>
      <w:r>
        <w:instrText xml:space="preserve"> NOTEREF _Ref479437454 \h </w:instrText>
      </w:r>
      <w:r>
        <w:fldChar w:fldCharType="separate"/>
      </w:r>
      <w:r>
        <w:t>7</w:t>
      </w:r>
      <w:r>
        <w:fldChar w:fldCharType="end"/>
      </w:r>
      <w:r>
        <w:t>, at pp. 143</w:t>
      </w:r>
    </w:p>
  </w:footnote>
  <w:footnote w:id="40">
    <w:p w14:paraId="4B31F256" w14:textId="6B8FA60E" w:rsidR="008A474B" w:rsidRPr="00655448" w:rsidRDefault="008A474B">
      <w:pPr>
        <w:pStyle w:val="FootnoteText"/>
        <w:rPr>
          <w:lang w:val="en-US"/>
        </w:rPr>
      </w:pPr>
      <w:r>
        <w:rPr>
          <w:rStyle w:val="FootnoteReference"/>
        </w:rPr>
        <w:footnoteRef/>
      </w:r>
      <w:r>
        <w:t xml:space="preserve"> </w:t>
      </w:r>
      <w:r w:rsidRPr="00655448">
        <w:t>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 OJ L 337, 20.12.2011, p. 9–26</w:t>
      </w:r>
      <w:r>
        <w:t>, Art. 2(a)</w:t>
      </w:r>
    </w:p>
  </w:footnote>
  <w:footnote w:id="41">
    <w:p w14:paraId="108E8F3E" w14:textId="3F0258FE" w:rsidR="008A474B" w:rsidRDefault="008A474B">
      <w:pPr>
        <w:pStyle w:val="FootnoteText"/>
      </w:pPr>
      <w:r>
        <w:rPr>
          <w:rStyle w:val="FootnoteReference"/>
        </w:rPr>
        <w:footnoteRef/>
      </w:r>
      <w:r>
        <w:t xml:space="preserve"> </w:t>
      </w:r>
      <w:r w:rsidRPr="00655448">
        <w:t>Directive 2013/32/EU of the European Parliament and of the Council of 26 June 2013 on common procedures for granting and withdrawing international protection (recast)</w:t>
      </w:r>
      <w:r>
        <w:t xml:space="preserve"> (Asylum Procedures Directive)</w:t>
      </w:r>
      <w:r w:rsidRPr="00655448">
        <w:t>, OJ L 180, 29.6.2013, p. 60–95</w:t>
      </w:r>
      <w:r>
        <w:t>, Art. 3</w:t>
      </w:r>
    </w:p>
  </w:footnote>
  <w:footnote w:id="42">
    <w:p w14:paraId="7BC00E2C" w14:textId="5E446FF7" w:rsidR="008A474B" w:rsidRDefault="008A474B">
      <w:pPr>
        <w:pStyle w:val="FootnoteText"/>
      </w:pPr>
      <w:r>
        <w:rPr>
          <w:rStyle w:val="FootnoteReference"/>
        </w:rPr>
        <w:footnoteRef/>
      </w:r>
      <w:r>
        <w:t xml:space="preserve"> </w:t>
      </w:r>
      <w:r w:rsidRPr="00655448">
        <w:t>Directive 2013/33/EU of the European Parliament and of the Council of 26 June 2013 laying down standards for the reception of applicants for international protection (recast), OJ L 180, 29.6.2013, p. 96–116</w:t>
      </w:r>
    </w:p>
  </w:footnote>
  <w:footnote w:id="43">
    <w:p w14:paraId="03FE94BC" w14:textId="244DB904" w:rsidR="008A474B" w:rsidRDefault="008A474B" w:rsidP="00920E82">
      <w:pPr>
        <w:pStyle w:val="FootnoteText"/>
      </w:pPr>
      <w:r>
        <w:rPr>
          <w:rStyle w:val="FootnoteReference"/>
        </w:rPr>
        <w:footnoteRef/>
      </w:r>
      <w:r>
        <w:t xml:space="preserve"> </w:t>
      </w:r>
      <w:proofErr w:type="spellStart"/>
      <w:r w:rsidRPr="00C17391">
        <w:t>Mariagiulia</w:t>
      </w:r>
      <w:proofErr w:type="spellEnd"/>
      <w:r w:rsidRPr="00C17391">
        <w:t xml:space="preserve"> Giuffre, </w:t>
      </w:r>
      <w:r>
        <w:t xml:space="preserve">supra note </w:t>
      </w:r>
      <w:r>
        <w:fldChar w:fldCharType="begin"/>
      </w:r>
      <w:r>
        <w:instrText xml:space="preserve"> NOTEREF _Ref479448466 \h </w:instrText>
      </w:r>
      <w:r>
        <w:fldChar w:fldCharType="separate"/>
      </w:r>
      <w:r>
        <w:t>1</w:t>
      </w:r>
      <w:r>
        <w:fldChar w:fldCharType="end"/>
      </w:r>
      <w:r w:rsidRPr="00C17391">
        <w:t>,</w:t>
      </w:r>
      <w:r>
        <w:t xml:space="preserve"> at pp.</w:t>
      </w:r>
      <w:r w:rsidRPr="00C17391">
        <w:t xml:space="preserve"> </w:t>
      </w:r>
      <w:r>
        <w:t>85-</w:t>
      </w:r>
      <w:r w:rsidRPr="00C17391">
        <w:t>86</w:t>
      </w:r>
      <w:r>
        <w:t xml:space="preserve">; Asylum Procedures Directive, supra note </w:t>
      </w:r>
      <w:r>
        <w:fldChar w:fldCharType="begin"/>
      </w:r>
      <w:r>
        <w:instrText xml:space="preserve"> NOTEREF _Ref479448410 \h </w:instrText>
      </w:r>
      <w:r>
        <w:fldChar w:fldCharType="separate"/>
      </w:r>
      <w:r>
        <w:t>41</w:t>
      </w:r>
      <w:r>
        <w:fldChar w:fldCharType="end"/>
      </w:r>
      <w:r>
        <w:t>, Art. 1</w:t>
      </w:r>
    </w:p>
  </w:footnote>
  <w:footnote w:id="44">
    <w:p w14:paraId="589CA4BF" w14:textId="743D5756" w:rsidR="008A474B" w:rsidRDefault="008A474B" w:rsidP="00920E82">
      <w:pPr>
        <w:pStyle w:val="FootnoteText"/>
      </w:pPr>
      <w:r>
        <w:rPr>
          <w:rStyle w:val="FootnoteReference"/>
        </w:rPr>
        <w:footnoteRef/>
      </w:r>
      <w:r>
        <w:t xml:space="preserve"> </w:t>
      </w:r>
      <w:r w:rsidRPr="00933104">
        <w:t>European Commission, 'Communication From The Commission To The European Parliament And To The Council' (2015) &lt;https://ec.europa.eu/home-affairs/sites/homeaffairs/files/what-we-do/policies/european-agenda-migration/proposal-implementation-package/docs/communication_from_the_ec_to_ep_and_council_-_eu_action_plan_on_return_en.pdf&gt; accessed 8 April 2017.</w:t>
      </w:r>
    </w:p>
  </w:footnote>
  <w:footnote w:id="45">
    <w:p w14:paraId="0C6912EC" w14:textId="1AF6182A" w:rsidR="008A474B" w:rsidRDefault="008A474B" w:rsidP="00920E82">
      <w:pPr>
        <w:pStyle w:val="FootnoteText"/>
      </w:pPr>
      <w:r w:rsidRPr="00A47AFB">
        <w:rPr>
          <w:rStyle w:val="FootnoteReference"/>
        </w:rPr>
        <w:footnoteRef/>
      </w:r>
      <w:r w:rsidRPr="00A47AFB">
        <w:t xml:space="preserve"> Asylum</w:t>
      </w:r>
      <w:r>
        <w:t xml:space="preserve"> Procedures Directive, supra note </w:t>
      </w:r>
      <w:r>
        <w:fldChar w:fldCharType="begin"/>
      </w:r>
      <w:r>
        <w:instrText xml:space="preserve"> NOTEREF _Ref479448410 \h </w:instrText>
      </w:r>
      <w:r>
        <w:fldChar w:fldCharType="separate"/>
      </w:r>
      <w:r>
        <w:t>41</w:t>
      </w:r>
      <w:r>
        <w:fldChar w:fldCharType="end"/>
      </w:r>
      <w:r>
        <w:t xml:space="preserve">, Art. 5; Coleman, supra note </w:t>
      </w:r>
      <w:r>
        <w:fldChar w:fldCharType="begin"/>
      </w:r>
      <w:r>
        <w:instrText xml:space="preserve"> NOTEREF _Ref479433956 \h </w:instrText>
      </w:r>
      <w:r>
        <w:fldChar w:fldCharType="separate"/>
      </w:r>
      <w:r>
        <w:t>2</w:t>
      </w:r>
      <w:r>
        <w:fldChar w:fldCharType="end"/>
      </w:r>
      <w:r>
        <w:t>, at pp. 307</w:t>
      </w:r>
    </w:p>
  </w:footnote>
  <w:footnote w:id="46">
    <w:p w14:paraId="40059D25" w14:textId="66AC2896" w:rsidR="008A474B" w:rsidRDefault="008A474B" w:rsidP="00920E82">
      <w:pPr>
        <w:pStyle w:val="FootnoteText"/>
      </w:pPr>
      <w:r>
        <w:rPr>
          <w:rStyle w:val="FootnoteReference"/>
        </w:rPr>
        <w:footnoteRef/>
      </w:r>
      <w:r>
        <w:t xml:space="preserve"> Memorandum of Understanding between the United Nations High Commissioner for Refugees (UNHCR) and the International Organization for Migration (IOM), May 1997 [hereinafter MOU], para. 29.; </w:t>
      </w:r>
      <w:proofErr w:type="spellStart"/>
      <w:r w:rsidRPr="00344903">
        <w:t>Imke</w:t>
      </w:r>
      <w:proofErr w:type="spellEnd"/>
      <w:r w:rsidRPr="00344903">
        <w:t xml:space="preserve"> Kruse, 'EU Readmission Policy </w:t>
      </w:r>
      <w:proofErr w:type="gramStart"/>
      <w:r w:rsidRPr="00344903">
        <w:t>And</w:t>
      </w:r>
      <w:proofErr w:type="gramEnd"/>
      <w:r w:rsidRPr="00344903">
        <w:t xml:space="preserve"> Its Effects On Transit Countries – The Case Of Albania' (2006) 8 European Journal of Migration and Law.</w:t>
      </w:r>
      <w:r>
        <w:t xml:space="preserve"> 117, 199</w:t>
      </w:r>
    </w:p>
  </w:footnote>
  <w:footnote w:id="47">
    <w:p w14:paraId="12DABC82" w14:textId="07A850F9" w:rsidR="008A474B" w:rsidRDefault="008A474B">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at pp. 286</w:t>
      </w:r>
    </w:p>
  </w:footnote>
  <w:footnote w:id="48">
    <w:p w14:paraId="390977C8" w14:textId="599E83C6" w:rsidR="008A474B" w:rsidRPr="00A52790" w:rsidRDefault="008A474B">
      <w:pPr>
        <w:pStyle w:val="FootnoteText"/>
        <w:rPr>
          <w:lang w:val="en-US"/>
        </w:rPr>
      </w:pPr>
      <w:r>
        <w:rPr>
          <w:rStyle w:val="FootnoteReference"/>
        </w:rPr>
        <w:footnoteRef/>
      </w:r>
      <w:r>
        <w:t xml:space="preserve"> </w:t>
      </w:r>
      <w:r w:rsidRPr="00A52790">
        <w:t>Agreement between the European Union and the Republic of Turkey on the readmission of persons residing without authorisation, OJ L 134, 7.5.2014, p. 3–27</w:t>
      </w:r>
      <w:r>
        <w:t xml:space="preserve"> (EU-Turkey Readmission Agreement), Art. 18</w:t>
      </w:r>
    </w:p>
  </w:footnote>
  <w:footnote w:id="49">
    <w:p w14:paraId="326A6118" w14:textId="7C8EEFF2" w:rsidR="008A474B" w:rsidRDefault="008A474B" w:rsidP="00920E82">
      <w:pPr>
        <w:pStyle w:val="FootnoteText"/>
      </w:pPr>
      <w:r>
        <w:rPr>
          <w:rStyle w:val="FootnoteReference"/>
        </w:rPr>
        <w:footnoteRef/>
      </w:r>
      <w:r>
        <w:t xml:space="preserve"> Ibid, at pp. 312</w:t>
      </w:r>
    </w:p>
  </w:footnote>
  <w:footnote w:id="50">
    <w:p w14:paraId="361BA897" w14:textId="7A239CA7" w:rsidR="008A474B" w:rsidRDefault="008A474B" w:rsidP="00920E82">
      <w:pPr>
        <w:pStyle w:val="FootnoteText"/>
      </w:pPr>
      <w:r>
        <w:rPr>
          <w:rStyle w:val="FootnoteReference"/>
        </w:rPr>
        <w:footnoteRef/>
      </w:r>
      <w:r>
        <w:t xml:space="preserve"> Ibid, at pp. 304-306</w:t>
      </w:r>
    </w:p>
  </w:footnote>
  <w:footnote w:id="51">
    <w:p w14:paraId="191413CD" w14:textId="50E40B80" w:rsidR="008A474B" w:rsidRDefault="008A474B">
      <w:pPr>
        <w:pStyle w:val="FootnoteText"/>
      </w:pPr>
      <w:r>
        <w:rPr>
          <w:rStyle w:val="FootnoteReference"/>
        </w:rPr>
        <w:footnoteRef/>
      </w:r>
      <w:r>
        <w:t xml:space="preserve"> </w:t>
      </w:r>
      <w:r w:rsidRPr="00D253B6">
        <w:t>UNHCR, 'An Overview Of Protection Issues In Europe: Legislative Trends And Positions Taken By UNHCR' (UNHCR 1995) &lt;http://www.unhcr.org/uk/publications/euroseries/46e65e1e2/overview-protection-issues-europe-legislative-trends-positions-taken-unhcr.html&gt; accessed 31 March 2017.</w:t>
      </w:r>
      <w:r>
        <w:t>( September 1995), pp. 1-14, 50</w:t>
      </w:r>
      <w:r w:rsidRPr="00D253B6">
        <w:t>; Karin Landgren, 'Deflecting International Protection By Treaty: Bilateral And Multilateral Accords On Extradition, Readmission And The Inadmissibility Of Asylum Requests' (UNICEF 1999) &lt;http://www.unhcr.org/uk/research/working/3ae6a0ce0/deflecting-international-protection-treaty-bilateral-multilateral-accords.html&gt; accessed 30 March 2017 1, 18</w:t>
      </w:r>
    </w:p>
  </w:footnote>
  <w:footnote w:id="52">
    <w:p w14:paraId="4659B46B" w14:textId="5D2D1EB4" w:rsidR="008A474B" w:rsidRPr="00773FA8" w:rsidRDefault="008A474B">
      <w:pPr>
        <w:pStyle w:val="FootnoteText"/>
        <w:rPr>
          <w:lang w:val="sv-SE"/>
        </w:rPr>
      </w:pPr>
      <w:r>
        <w:rPr>
          <w:rStyle w:val="FootnoteReference"/>
        </w:rPr>
        <w:footnoteRef/>
      </w:r>
      <w:r w:rsidRPr="00773FA8">
        <w:rPr>
          <w:lang w:val="sv-SE"/>
        </w:rPr>
        <w:t xml:space="preserve"> Karin Landgren, supra note </w:t>
      </w:r>
      <w:r>
        <w:fldChar w:fldCharType="begin"/>
      </w:r>
      <w:r w:rsidRPr="00773FA8">
        <w:rPr>
          <w:lang w:val="sv-SE"/>
        </w:rPr>
        <w:instrText xml:space="preserve"> NOTEREF _Ref479026516 \h </w:instrText>
      </w:r>
      <w:r>
        <w:fldChar w:fldCharType="separate"/>
      </w:r>
      <w:r w:rsidRPr="00773FA8">
        <w:rPr>
          <w:lang w:val="sv-SE"/>
        </w:rPr>
        <w:t>51</w:t>
      </w:r>
      <w:r>
        <w:fldChar w:fldCharType="end"/>
      </w:r>
      <w:r w:rsidRPr="00773FA8">
        <w:rPr>
          <w:lang w:val="sv-SE"/>
        </w:rPr>
        <w:t xml:space="preserve">, at </w:t>
      </w:r>
      <w:proofErr w:type="spellStart"/>
      <w:r w:rsidRPr="00773FA8">
        <w:rPr>
          <w:lang w:val="sv-SE"/>
        </w:rPr>
        <w:t>pp</w:t>
      </w:r>
      <w:proofErr w:type="spellEnd"/>
      <w:r w:rsidRPr="00773FA8">
        <w:rPr>
          <w:lang w:val="sv-SE"/>
        </w:rPr>
        <w:t>. 26</w:t>
      </w:r>
    </w:p>
  </w:footnote>
  <w:footnote w:id="53">
    <w:p w14:paraId="1CE78101" w14:textId="77777777" w:rsidR="008A474B" w:rsidRDefault="008A474B" w:rsidP="00237749">
      <w:pPr>
        <w:pStyle w:val="FootnoteText"/>
      </w:pPr>
      <w:r>
        <w:rPr>
          <w:rStyle w:val="FootnoteReference"/>
        </w:rPr>
        <w:footnoteRef/>
      </w:r>
      <w:r>
        <w:t xml:space="preserve"> Executive Committee of the High Commissioner’s Programme, No. 15, “Refugees Without an Asylum Country Refugees Without an Asylum Country” 1979, United Nations General Assembly Document No. 12A (A/34/12/Add.1)</w:t>
      </w:r>
    </w:p>
  </w:footnote>
  <w:footnote w:id="54">
    <w:p w14:paraId="37539858" w14:textId="3EECF604" w:rsidR="008A474B" w:rsidRDefault="008A474B">
      <w:pPr>
        <w:pStyle w:val="FootnoteText"/>
      </w:pPr>
      <w:r>
        <w:rPr>
          <w:rStyle w:val="FootnoteReference"/>
        </w:rPr>
        <w:footnoteRef/>
      </w:r>
      <w:r>
        <w:t xml:space="preserve"> Asylum Procedures Directive, supra note </w:t>
      </w:r>
      <w:r>
        <w:fldChar w:fldCharType="begin"/>
      </w:r>
      <w:r>
        <w:instrText xml:space="preserve"> NOTEREF _Ref479448410 \h </w:instrText>
      </w:r>
      <w:r>
        <w:fldChar w:fldCharType="separate"/>
      </w:r>
      <w:r>
        <w:t>41</w:t>
      </w:r>
      <w:r>
        <w:fldChar w:fldCharType="end"/>
      </w:r>
      <w:r>
        <w:t>, Art. 38(1)</w:t>
      </w:r>
    </w:p>
  </w:footnote>
  <w:footnote w:id="55">
    <w:p w14:paraId="340A7EBC" w14:textId="6C8EFA68" w:rsidR="008A474B" w:rsidRDefault="008A474B" w:rsidP="00DA6816">
      <w:pPr>
        <w:pStyle w:val="FootnoteText"/>
      </w:pPr>
      <w:r>
        <w:rPr>
          <w:rStyle w:val="FootnoteReference"/>
        </w:rPr>
        <w:footnoteRef/>
      </w:r>
      <w:r>
        <w:t xml:space="preserve"> </w:t>
      </w:r>
      <w:proofErr w:type="spellStart"/>
      <w:r w:rsidRPr="00313DF0">
        <w:t>Imke</w:t>
      </w:r>
      <w:proofErr w:type="spellEnd"/>
      <w:r w:rsidRPr="00313DF0">
        <w:t xml:space="preserve"> Kruse</w:t>
      </w:r>
      <w:r>
        <w:t xml:space="preserve">, supra note </w:t>
      </w:r>
      <w:r>
        <w:fldChar w:fldCharType="begin"/>
      </w:r>
      <w:r>
        <w:instrText xml:space="preserve"> NOTEREF _Ref479451617 \h </w:instrText>
      </w:r>
      <w:r>
        <w:fldChar w:fldCharType="separate"/>
      </w:r>
      <w:r>
        <w:t>46</w:t>
      </w:r>
      <w:r>
        <w:fldChar w:fldCharType="end"/>
      </w:r>
      <w:r>
        <w:t xml:space="preserve"> at pp. 117-119; Coleman, supra note </w:t>
      </w:r>
      <w:r>
        <w:fldChar w:fldCharType="begin"/>
      </w:r>
      <w:r>
        <w:instrText xml:space="preserve"> NOTEREF _Ref479433956 \h </w:instrText>
      </w:r>
      <w:r>
        <w:fldChar w:fldCharType="separate"/>
      </w:r>
      <w:r>
        <w:t>2</w:t>
      </w:r>
      <w:r>
        <w:fldChar w:fldCharType="end"/>
      </w:r>
      <w:r>
        <w:t>, at pp. 288-</w:t>
      </w:r>
      <w:proofErr w:type="gramStart"/>
      <w:r>
        <w:t>289 ;</w:t>
      </w:r>
      <w:proofErr w:type="gramEnd"/>
      <w:r>
        <w:t xml:space="preserve"> Asylum Procedures Directive, supra note </w:t>
      </w:r>
      <w:r>
        <w:fldChar w:fldCharType="begin"/>
      </w:r>
      <w:r>
        <w:instrText xml:space="preserve"> NOTEREF _Ref479448410 \h </w:instrText>
      </w:r>
      <w:r>
        <w:fldChar w:fldCharType="separate"/>
      </w:r>
      <w:r>
        <w:t>41</w:t>
      </w:r>
      <w:r>
        <w:fldChar w:fldCharType="end"/>
      </w:r>
      <w:r>
        <w:t>, Art. 33(2)(c)</w:t>
      </w:r>
    </w:p>
  </w:footnote>
  <w:footnote w:id="56">
    <w:p w14:paraId="25AC941B" w14:textId="7FE969EF" w:rsidR="008A474B" w:rsidRDefault="008A474B">
      <w:pPr>
        <w:pStyle w:val="FootnoteText"/>
      </w:pPr>
      <w:r>
        <w:rPr>
          <w:rStyle w:val="FootnoteReference"/>
        </w:rPr>
        <w:footnoteRef/>
      </w:r>
      <w:r>
        <w:t xml:space="preserve"> Returns Directive, supra note </w:t>
      </w:r>
      <w:r>
        <w:fldChar w:fldCharType="begin"/>
      </w:r>
      <w:r>
        <w:instrText xml:space="preserve"> NOTEREF _Ref479451947 \h </w:instrText>
      </w:r>
      <w:r>
        <w:fldChar w:fldCharType="separate"/>
      </w:r>
      <w:r>
        <w:t>42</w:t>
      </w:r>
      <w:r>
        <w:fldChar w:fldCharType="end"/>
      </w:r>
      <w:r>
        <w:t>, Art. 5</w:t>
      </w:r>
    </w:p>
  </w:footnote>
  <w:footnote w:id="57">
    <w:p w14:paraId="6BBC889A" w14:textId="5136AC1F" w:rsidR="008A474B" w:rsidRDefault="008A474B" w:rsidP="00DA6816">
      <w:pPr>
        <w:pStyle w:val="FootnoteText"/>
      </w:pPr>
      <w:r w:rsidRPr="004634E1">
        <w:rPr>
          <w:rStyle w:val="FootnoteReference"/>
        </w:rPr>
        <w:footnoteRef/>
      </w:r>
      <w:r w:rsidRPr="004634E1">
        <w:t xml:space="preserve"> Coleman, supra note </w:t>
      </w:r>
      <w:r w:rsidRPr="004634E1">
        <w:fldChar w:fldCharType="begin"/>
      </w:r>
      <w:r w:rsidRPr="004634E1">
        <w:instrText xml:space="preserve"> NOTEREF _Ref479433956 \h </w:instrText>
      </w:r>
      <w:r>
        <w:instrText xml:space="preserve"> \* MERGEFORMAT </w:instrText>
      </w:r>
      <w:r w:rsidRPr="004634E1">
        <w:fldChar w:fldCharType="separate"/>
      </w:r>
      <w:r>
        <w:t>2</w:t>
      </w:r>
      <w:r w:rsidRPr="004634E1">
        <w:fldChar w:fldCharType="end"/>
      </w:r>
      <w:r w:rsidRPr="004634E1">
        <w:t>, at pp. 286-288, 315-316</w:t>
      </w:r>
    </w:p>
  </w:footnote>
  <w:footnote w:id="58">
    <w:p w14:paraId="0D0EEB0F" w14:textId="7781DA34" w:rsidR="008A474B" w:rsidRDefault="008A474B">
      <w:pPr>
        <w:pStyle w:val="FootnoteText"/>
      </w:pPr>
      <w:r>
        <w:rPr>
          <w:rStyle w:val="FootnoteReference"/>
        </w:rPr>
        <w:footnoteRef/>
      </w:r>
      <w:r>
        <w:t xml:space="preserve"> </w:t>
      </w:r>
      <w:r w:rsidRPr="00BA549F">
        <w:t xml:space="preserve">Anita </w:t>
      </w:r>
      <w:proofErr w:type="spellStart"/>
      <w:r w:rsidRPr="00BA549F">
        <w:t>Orav</w:t>
      </w:r>
      <w:proofErr w:type="spellEnd"/>
      <w:r w:rsidRPr="00BA549F">
        <w:t xml:space="preserve"> and Joanna </w:t>
      </w:r>
      <w:proofErr w:type="spellStart"/>
      <w:r w:rsidRPr="00BA549F">
        <w:t>Apap</w:t>
      </w:r>
      <w:proofErr w:type="spellEnd"/>
      <w:r w:rsidRPr="00BA549F">
        <w:t xml:space="preserve">, 'Safe Countries </w:t>
      </w:r>
      <w:proofErr w:type="gramStart"/>
      <w:r w:rsidRPr="00BA549F">
        <w:t>Of</w:t>
      </w:r>
      <w:proofErr w:type="gramEnd"/>
      <w:r w:rsidRPr="00BA549F">
        <w:t xml:space="preserve"> Origin: Proposed Common EU List' (European Parliament 2017) &lt;http://www.europarl.europa.eu/RegData/etudes/BRIE/2015/569008/EPRS_BRI(2015)569008_EN.pdf&gt; accessed 8 April 2017.</w:t>
      </w:r>
    </w:p>
  </w:footnote>
  <w:footnote w:id="59">
    <w:p w14:paraId="65D266CF" w14:textId="7BFBEA84" w:rsidR="008A474B" w:rsidRDefault="008A474B">
      <w:pPr>
        <w:pStyle w:val="FootnoteText"/>
      </w:pPr>
      <w:r>
        <w:rPr>
          <w:rStyle w:val="FootnoteReference"/>
        </w:rPr>
        <w:footnoteRef/>
      </w:r>
      <w:r>
        <w:t xml:space="preserve"> </w:t>
      </w:r>
      <w:r w:rsidRPr="00BA549F">
        <w:t>European Commission, 'Communication From The Commission To The European Parliament, The European Council And The Council, Next Operational Steps In EU-Turkey Cooperation In The Field Of Migration' (2016) &lt;https://ec.europa.eu/transparency/regdoc/rep/1/2016/EN/1-2016-166-EN-F1-1.PDF&gt; accessed 2 April 2017 1, 3</w:t>
      </w:r>
    </w:p>
  </w:footnote>
  <w:footnote w:id="60">
    <w:p w14:paraId="41769D98" w14:textId="7F56F8CB" w:rsidR="008A474B" w:rsidRDefault="008A474B">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at pp. 324-325</w:t>
      </w:r>
    </w:p>
  </w:footnote>
  <w:footnote w:id="61">
    <w:p w14:paraId="2EABF85D" w14:textId="23C9B7FF" w:rsidR="008A474B" w:rsidRDefault="008A474B" w:rsidP="002C6C8A">
      <w:pPr>
        <w:pStyle w:val="FootnoteText"/>
      </w:pPr>
      <w:r>
        <w:rPr>
          <w:rStyle w:val="FootnoteReference"/>
        </w:rPr>
        <w:footnoteRef/>
      </w:r>
      <w:r>
        <w:rPr>
          <w:rStyle w:val="selectable"/>
        </w:rPr>
        <w:t xml:space="preserve"> Boyle, </w:t>
      </w:r>
      <w:proofErr w:type="spellStart"/>
      <w:r>
        <w:rPr>
          <w:rStyle w:val="selectable"/>
        </w:rPr>
        <w:t>Chinkin</w:t>
      </w:r>
      <w:proofErr w:type="spellEnd"/>
      <w:r>
        <w:rPr>
          <w:rStyle w:val="selectable"/>
        </w:rPr>
        <w:t xml:space="preserve">, supra note </w:t>
      </w:r>
      <w:r>
        <w:rPr>
          <w:rStyle w:val="selectable"/>
        </w:rPr>
        <w:fldChar w:fldCharType="begin"/>
      </w:r>
      <w:r>
        <w:rPr>
          <w:rStyle w:val="selectable"/>
        </w:rPr>
        <w:instrText xml:space="preserve"> NOTEREF _Ref479437454 \h </w:instrText>
      </w:r>
      <w:r>
        <w:rPr>
          <w:rStyle w:val="selectable"/>
        </w:rPr>
      </w:r>
      <w:r>
        <w:rPr>
          <w:rStyle w:val="selectable"/>
        </w:rPr>
        <w:fldChar w:fldCharType="separate"/>
      </w:r>
      <w:r>
        <w:rPr>
          <w:rStyle w:val="selectable"/>
        </w:rPr>
        <w:t>7</w:t>
      </w:r>
      <w:r>
        <w:rPr>
          <w:rStyle w:val="selectable"/>
        </w:rPr>
        <w:fldChar w:fldCharType="end"/>
      </w:r>
      <w:r>
        <w:rPr>
          <w:rStyle w:val="selectable"/>
        </w:rPr>
        <w:t>, at pp. 276-278</w:t>
      </w:r>
    </w:p>
  </w:footnote>
  <w:footnote w:id="62">
    <w:p w14:paraId="4A4F45CA" w14:textId="1ACD6F71" w:rsidR="008A474B" w:rsidRPr="008B2DBD" w:rsidRDefault="008A474B" w:rsidP="00F87BA1">
      <w:pPr>
        <w:pStyle w:val="FootnoteText"/>
      </w:pPr>
      <w:r>
        <w:rPr>
          <w:rStyle w:val="FootnoteReference"/>
        </w:rPr>
        <w:footnoteRef/>
      </w:r>
      <w:r>
        <w:t xml:space="preserve"> </w:t>
      </w:r>
      <w:r>
        <w:rPr>
          <w:rStyle w:val="selectable"/>
        </w:rPr>
        <w:t xml:space="preserve">Guy S Goodwin-Gill and Jane McAdam, </w:t>
      </w:r>
      <w:r>
        <w:rPr>
          <w:rStyle w:val="selectable"/>
          <w:i/>
          <w:iCs/>
        </w:rPr>
        <w:t xml:space="preserve">The Refugee </w:t>
      </w:r>
      <w:proofErr w:type="gramStart"/>
      <w:r>
        <w:rPr>
          <w:rStyle w:val="selectable"/>
          <w:i/>
          <w:iCs/>
        </w:rPr>
        <w:t>In</w:t>
      </w:r>
      <w:proofErr w:type="gramEnd"/>
      <w:r>
        <w:rPr>
          <w:rStyle w:val="selectable"/>
          <w:i/>
          <w:iCs/>
        </w:rPr>
        <w:t xml:space="preserve"> International Law</w:t>
      </w:r>
      <w:r>
        <w:rPr>
          <w:rStyle w:val="selectable"/>
        </w:rPr>
        <w:t xml:space="preserve"> (3rd </w:t>
      </w:r>
      <w:proofErr w:type="spellStart"/>
      <w:r>
        <w:rPr>
          <w:rStyle w:val="selectable"/>
        </w:rPr>
        <w:t>edn</w:t>
      </w:r>
      <w:proofErr w:type="spellEnd"/>
      <w:r>
        <w:rPr>
          <w:rStyle w:val="selectable"/>
        </w:rPr>
        <w:t xml:space="preserve">, Oxford University Press 2007) 252-253; </w:t>
      </w:r>
      <w:proofErr w:type="spellStart"/>
      <w:r>
        <w:t>Bouteillet</w:t>
      </w:r>
      <w:proofErr w:type="spellEnd"/>
      <w:r>
        <w:t xml:space="preserve">-Paquet, supra note </w:t>
      </w:r>
      <w:r>
        <w:fldChar w:fldCharType="begin"/>
      </w:r>
      <w:r>
        <w:instrText xml:space="preserve"> NOTEREF _Ref478579224 \h </w:instrText>
      </w:r>
      <w:r>
        <w:fldChar w:fldCharType="separate"/>
      </w:r>
      <w:r>
        <w:t>16</w:t>
      </w:r>
      <w:r>
        <w:fldChar w:fldCharType="end"/>
      </w:r>
      <w:r>
        <w:t>, at pp 368</w:t>
      </w:r>
    </w:p>
  </w:footnote>
  <w:footnote w:id="63">
    <w:p w14:paraId="5FC30CA6" w14:textId="63695F9E" w:rsidR="008A474B" w:rsidRDefault="008A474B" w:rsidP="002C6C8A">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at pp. 227, 234-235, 266</w:t>
      </w:r>
    </w:p>
  </w:footnote>
  <w:footnote w:id="64">
    <w:p w14:paraId="2BBE7FCD" w14:textId="5E172A09" w:rsidR="008A474B" w:rsidRPr="00856CE4" w:rsidRDefault="008A474B" w:rsidP="00F87BA1">
      <w:pPr>
        <w:pStyle w:val="FootnoteText"/>
      </w:pPr>
      <w:r>
        <w:rPr>
          <w:rStyle w:val="FootnoteReference"/>
        </w:rPr>
        <w:footnoteRef/>
      </w:r>
      <w:r>
        <w:t xml:space="preserve"> </w:t>
      </w:r>
      <w:r w:rsidRPr="00856CE4">
        <w:t xml:space="preserve">United Nations, Vienna Convention on the Law of Treaties, 23 May 1969, United Nations, Treaty Series, vol. 1155, p. 331, </w:t>
      </w:r>
      <w:r>
        <w:t xml:space="preserve">Art. 31(1); </w:t>
      </w:r>
      <w:r>
        <w:rPr>
          <w:rStyle w:val="selectable"/>
        </w:rPr>
        <w:t>United Nations High Commissioner for Refugees (UNHCR), 'Advisory Opinion On The Extraterritorial Application Of non-</w:t>
      </w:r>
      <w:proofErr w:type="spellStart"/>
      <w:r>
        <w:rPr>
          <w:rStyle w:val="selectable"/>
        </w:rPr>
        <w:t>Refoulement</w:t>
      </w:r>
      <w:proofErr w:type="spellEnd"/>
      <w:r>
        <w:rPr>
          <w:rStyle w:val="selectable"/>
        </w:rPr>
        <w:t xml:space="preserve"> Obligations Under The 1951 Convention Relating To The Status Of Refugees And Its 1967 Protocol' (2007) &lt;http://www.refworld.org/pdfid/45f17a1a4.pdf&gt; accessed 1 April 2017 1, 12, Para 25 </w:t>
      </w:r>
    </w:p>
  </w:footnote>
  <w:footnote w:id="65">
    <w:p w14:paraId="46399ED5" w14:textId="1EDEA557" w:rsidR="008A474B" w:rsidRPr="00773FA8" w:rsidRDefault="008A474B" w:rsidP="00F87BA1">
      <w:pPr>
        <w:pStyle w:val="FootnoteText"/>
        <w:rPr>
          <w:lang w:val="es-ES"/>
        </w:rPr>
      </w:pPr>
      <w:r>
        <w:rPr>
          <w:rStyle w:val="FootnoteReference"/>
        </w:rPr>
        <w:footnoteRef/>
      </w:r>
      <w:r w:rsidRPr="00773FA8">
        <w:rPr>
          <w:lang w:val="es-ES"/>
        </w:rPr>
        <w:t xml:space="preserve"> UNHCR (Advisory </w:t>
      </w:r>
      <w:proofErr w:type="spellStart"/>
      <w:r w:rsidRPr="00773FA8">
        <w:rPr>
          <w:lang w:val="es-ES"/>
        </w:rPr>
        <w:t>Opinion</w:t>
      </w:r>
      <w:proofErr w:type="spellEnd"/>
      <w:r w:rsidRPr="00773FA8">
        <w:rPr>
          <w:lang w:val="es-ES"/>
        </w:rPr>
        <w:t xml:space="preserve">), </w:t>
      </w:r>
      <w:r w:rsidRPr="00773FA8">
        <w:rPr>
          <w:rStyle w:val="selectable"/>
          <w:lang w:val="es-ES"/>
        </w:rPr>
        <w:t xml:space="preserve">supra note </w:t>
      </w:r>
      <w:r>
        <w:rPr>
          <w:rStyle w:val="selectable"/>
        </w:rPr>
        <w:fldChar w:fldCharType="begin"/>
      </w:r>
      <w:r w:rsidRPr="00773FA8">
        <w:rPr>
          <w:rStyle w:val="selectable"/>
          <w:lang w:val="es-ES"/>
        </w:rPr>
        <w:instrText xml:space="preserve"> NOTEREF _Ref479455847 \h </w:instrText>
      </w:r>
      <w:r>
        <w:rPr>
          <w:rStyle w:val="selectable"/>
        </w:rPr>
      </w:r>
      <w:r>
        <w:rPr>
          <w:rStyle w:val="selectable"/>
        </w:rPr>
        <w:fldChar w:fldCharType="separate"/>
      </w:r>
      <w:r w:rsidRPr="00773FA8">
        <w:rPr>
          <w:rStyle w:val="selectable"/>
          <w:lang w:val="es-ES"/>
        </w:rPr>
        <w:t>64</w:t>
      </w:r>
      <w:r>
        <w:rPr>
          <w:rStyle w:val="selectable"/>
        </w:rPr>
        <w:fldChar w:fldCharType="end"/>
      </w:r>
      <w:r w:rsidRPr="00773FA8">
        <w:rPr>
          <w:rStyle w:val="selectable"/>
          <w:lang w:val="es-ES"/>
        </w:rPr>
        <w:t xml:space="preserve">, </w:t>
      </w:r>
      <w:r w:rsidRPr="00773FA8">
        <w:rPr>
          <w:lang w:val="es-ES"/>
        </w:rPr>
        <w:t>Para 27, pp. 13</w:t>
      </w:r>
    </w:p>
  </w:footnote>
  <w:footnote w:id="66">
    <w:p w14:paraId="2B8F3689" w14:textId="406C60DF" w:rsidR="008A474B" w:rsidRPr="00773FA8" w:rsidRDefault="008A474B" w:rsidP="00F87BA1">
      <w:pPr>
        <w:pStyle w:val="FootnoteText"/>
        <w:rPr>
          <w:lang w:val="es-ES"/>
        </w:rPr>
      </w:pPr>
      <w:r>
        <w:rPr>
          <w:rStyle w:val="FootnoteReference"/>
        </w:rPr>
        <w:footnoteRef/>
      </w:r>
      <w:r w:rsidRPr="00773FA8">
        <w:rPr>
          <w:lang w:val="es-ES"/>
        </w:rPr>
        <w:t xml:space="preserve"> </w:t>
      </w:r>
      <w:r w:rsidRPr="00773FA8">
        <w:rPr>
          <w:rStyle w:val="selectable"/>
          <w:lang w:val="es-ES"/>
        </w:rPr>
        <w:t xml:space="preserve">Ibid, </w:t>
      </w:r>
      <w:r w:rsidRPr="00773FA8">
        <w:rPr>
          <w:lang w:val="es-ES"/>
        </w:rPr>
        <w:t>Para 29, pp. 14</w:t>
      </w:r>
    </w:p>
  </w:footnote>
  <w:footnote w:id="67">
    <w:p w14:paraId="302BE17D" w14:textId="30CD36CB" w:rsidR="008A474B" w:rsidRPr="00773FA8" w:rsidRDefault="008A474B" w:rsidP="00F87BA1">
      <w:pPr>
        <w:pStyle w:val="FootnoteText"/>
        <w:rPr>
          <w:lang w:val="es-ES"/>
        </w:rPr>
      </w:pPr>
      <w:r>
        <w:rPr>
          <w:rStyle w:val="FootnoteReference"/>
        </w:rPr>
        <w:footnoteRef/>
      </w:r>
      <w:r w:rsidRPr="00773FA8">
        <w:rPr>
          <w:lang w:val="es-ES"/>
        </w:rPr>
        <w:t xml:space="preserve"> Ibid, Para 43, pp. 19</w:t>
      </w:r>
    </w:p>
  </w:footnote>
  <w:footnote w:id="68">
    <w:p w14:paraId="1E764956" w14:textId="588D9B19" w:rsidR="008A474B" w:rsidRDefault="008A474B" w:rsidP="00F87BA1">
      <w:pPr>
        <w:pStyle w:val="FootnoteText"/>
      </w:pPr>
      <w:r>
        <w:rPr>
          <w:rStyle w:val="FootnoteReference"/>
        </w:rPr>
        <w:footnoteRef/>
      </w:r>
      <w:r>
        <w:t xml:space="preserve"> Coleman, supra note </w:t>
      </w:r>
      <w:r>
        <w:fldChar w:fldCharType="begin"/>
      </w:r>
      <w:r>
        <w:instrText xml:space="preserve"> NOTEREF _Ref479433956 \h </w:instrText>
      </w:r>
      <w:r>
        <w:fldChar w:fldCharType="separate"/>
      </w:r>
      <w:r>
        <w:t>2</w:t>
      </w:r>
      <w:r>
        <w:fldChar w:fldCharType="end"/>
      </w:r>
      <w:r>
        <w:t xml:space="preserve">, at pp. 314-315; Mink, supra note </w:t>
      </w:r>
      <w:r>
        <w:fldChar w:fldCharType="begin"/>
      </w:r>
      <w:r>
        <w:instrText xml:space="preserve"> NOTEREF _Ref479437454 \h </w:instrText>
      </w:r>
      <w:r>
        <w:fldChar w:fldCharType="separate"/>
      </w:r>
      <w:r>
        <w:t>7</w:t>
      </w:r>
      <w:r>
        <w:fldChar w:fldCharType="end"/>
      </w:r>
      <w:r>
        <w:t xml:space="preserve">, at pp.136 </w:t>
      </w:r>
    </w:p>
  </w:footnote>
  <w:footnote w:id="69">
    <w:p w14:paraId="3AE82250" w14:textId="21113BA1" w:rsidR="008A474B" w:rsidRDefault="008A474B" w:rsidP="00F87BA1">
      <w:pPr>
        <w:pStyle w:val="FootnoteText"/>
      </w:pPr>
      <w:r w:rsidRPr="00386771">
        <w:rPr>
          <w:rStyle w:val="FootnoteReference"/>
        </w:rPr>
        <w:footnoteRef/>
      </w:r>
      <w:r w:rsidRPr="00386771">
        <w:t xml:space="preserve"> Boyle, </w:t>
      </w:r>
      <w:proofErr w:type="spellStart"/>
      <w:r w:rsidRPr="00386771">
        <w:t>Chinkin</w:t>
      </w:r>
      <w:proofErr w:type="spellEnd"/>
      <w:r w:rsidRPr="00386771">
        <w:t xml:space="preserve">, supra note </w:t>
      </w:r>
      <w:r w:rsidRPr="00386771">
        <w:fldChar w:fldCharType="begin"/>
      </w:r>
      <w:r w:rsidRPr="00386771">
        <w:instrText xml:space="preserve"> NOTEREF _Ref479437454 \h  \* MERGEFORMAT </w:instrText>
      </w:r>
      <w:r w:rsidRPr="00386771">
        <w:fldChar w:fldCharType="separate"/>
      </w:r>
      <w:r>
        <w:t>7</w:t>
      </w:r>
      <w:r w:rsidRPr="00386771">
        <w:fldChar w:fldCharType="end"/>
      </w:r>
      <w:r w:rsidRPr="00386771">
        <w:t>, at pp. 276-277</w:t>
      </w:r>
    </w:p>
  </w:footnote>
  <w:footnote w:id="70">
    <w:p w14:paraId="12C125BE" w14:textId="1A5D6156" w:rsidR="008A474B" w:rsidRPr="00386771" w:rsidRDefault="008A474B" w:rsidP="00386771">
      <w:pPr>
        <w:pStyle w:val="FootnoteText"/>
        <w:rPr>
          <w:rStyle w:val="selectable"/>
        </w:rPr>
      </w:pPr>
      <w:r>
        <w:rPr>
          <w:rStyle w:val="FootnoteReference"/>
        </w:rPr>
        <w:footnoteRef/>
      </w:r>
      <w:r>
        <w:t xml:space="preserve"> </w:t>
      </w:r>
      <w:r>
        <w:rPr>
          <w:rStyle w:val="selectable"/>
          <w:i/>
          <w:iCs/>
        </w:rPr>
        <w:t>TI v United Kingdom</w:t>
      </w:r>
      <w:r>
        <w:rPr>
          <w:rStyle w:val="selectable"/>
        </w:rPr>
        <w:t xml:space="preserve"> [2000] European Court of Human Rights, </w:t>
      </w:r>
      <w:proofErr w:type="spellStart"/>
      <w:r>
        <w:rPr>
          <w:rStyle w:val="selectable"/>
        </w:rPr>
        <w:t>Appl</w:t>
      </w:r>
      <w:proofErr w:type="spellEnd"/>
      <w:r>
        <w:rPr>
          <w:rStyle w:val="selectable"/>
        </w:rPr>
        <w:t xml:space="preserve"> No 43844/98 (European Court of Human Rights). At pp 12; </w:t>
      </w:r>
      <w:r w:rsidRPr="00386771">
        <w:rPr>
          <w:rStyle w:val="selectable"/>
        </w:rPr>
        <w:t xml:space="preserve">Moira </w:t>
      </w:r>
      <w:proofErr w:type="spellStart"/>
      <w:r w:rsidRPr="00386771">
        <w:rPr>
          <w:rStyle w:val="selectable"/>
        </w:rPr>
        <w:t>Sy</w:t>
      </w:r>
      <w:proofErr w:type="spellEnd"/>
      <w:r w:rsidRPr="00386771">
        <w:rPr>
          <w:rStyle w:val="selectable"/>
        </w:rPr>
        <w:t xml:space="preserve">, 'UNHCR And Preventing Indirect </w:t>
      </w:r>
      <w:proofErr w:type="spellStart"/>
      <w:r w:rsidRPr="00386771">
        <w:rPr>
          <w:rStyle w:val="selectable"/>
        </w:rPr>
        <w:t>Refoulement</w:t>
      </w:r>
      <w:proofErr w:type="spellEnd"/>
      <w:r w:rsidRPr="00386771">
        <w:rPr>
          <w:rStyle w:val="selectable"/>
        </w:rPr>
        <w:t xml:space="preserve"> In Europe' (2015) 27 International Jou</w:t>
      </w:r>
      <w:r>
        <w:rPr>
          <w:rStyle w:val="selectable"/>
        </w:rPr>
        <w:t>rnal of Refugee Law 457, 468</w:t>
      </w:r>
    </w:p>
  </w:footnote>
  <w:footnote w:id="71">
    <w:p w14:paraId="6D41181C" w14:textId="02452E3A" w:rsidR="008A474B" w:rsidRDefault="008A474B" w:rsidP="00F87BA1">
      <w:pPr>
        <w:pStyle w:val="FootnoteText"/>
      </w:pPr>
      <w:r>
        <w:rPr>
          <w:rStyle w:val="FootnoteReference"/>
        </w:rPr>
        <w:footnoteRef/>
      </w:r>
      <w:r>
        <w:t xml:space="preserve"> </w:t>
      </w:r>
      <w:r>
        <w:rPr>
          <w:rStyle w:val="selectable"/>
          <w:i/>
          <w:iCs/>
        </w:rPr>
        <w:t>TI v United Kingdom</w:t>
      </w:r>
      <w:r>
        <w:rPr>
          <w:rStyle w:val="selectable"/>
          <w:iCs/>
        </w:rPr>
        <w:t xml:space="preserve">, supra note </w:t>
      </w:r>
      <w:r>
        <w:rPr>
          <w:rStyle w:val="selectable"/>
          <w:iCs/>
        </w:rPr>
        <w:fldChar w:fldCharType="begin"/>
      </w:r>
      <w:r>
        <w:rPr>
          <w:rStyle w:val="selectable"/>
          <w:iCs/>
        </w:rPr>
        <w:instrText xml:space="preserve"> NOTEREF _Ref479456475 \h </w:instrText>
      </w:r>
      <w:r>
        <w:rPr>
          <w:rStyle w:val="selectable"/>
          <w:iCs/>
        </w:rPr>
      </w:r>
      <w:r>
        <w:rPr>
          <w:rStyle w:val="selectable"/>
          <w:iCs/>
        </w:rPr>
        <w:fldChar w:fldCharType="separate"/>
      </w:r>
      <w:r>
        <w:rPr>
          <w:rStyle w:val="selectable"/>
          <w:iCs/>
        </w:rPr>
        <w:t>70</w:t>
      </w:r>
      <w:r>
        <w:rPr>
          <w:rStyle w:val="selectable"/>
          <w:iCs/>
        </w:rPr>
        <w:fldChar w:fldCharType="end"/>
      </w:r>
      <w:r>
        <w:rPr>
          <w:rStyle w:val="selectable"/>
          <w:iCs/>
        </w:rPr>
        <w:t>,</w:t>
      </w:r>
      <w:r>
        <w:rPr>
          <w:rStyle w:val="selectable"/>
        </w:rPr>
        <w:t xml:space="preserve"> at pp. 14; </w:t>
      </w:r>
      <w:proofErr w:type="spellStart"/>
      <w:r>
        <w:t>Sy</w:t>
      </w:r>
      <w:proofErr w:type="spellEnd"/>
      <w:r>
        <w:t xml:space="preserve">, supra note, </w:t>
      </w:r>
      <w:r>
        <w:fldChar w:fldCharType="begin"/>
      </w:r>
      <w:r>
        <w:instrText xml:space="preserve"> NOTEREF _Ref479456475 \h </w:instrText>
      </w:r>
      <w:r>
        <w:fldChar w:fldCharType="separate"/>
      </w:r>
      <w:r>
        <w:t>70</w:t>
      </w:r>
      <w:r>
        <w:fldChar w:fldCharType="end"/>
      </w:r>
      <w:r>
        <w:t>, at pp. 467-468</w:t>
      </w:r>
    </w:p>
  </w:footnote>
  <w:footnote w:id="72">
    <w:p w14:paraId="7546E042" w14:textId="4AE6CB77" w:rsidR="008A474B" w:rsidRPr="00386771" w:rsidRDefault="008A474B" w:rsidP="00F87BA1">
      <w:pPr>
        <w:pStyle w:val="FootnoteText"/>
      </w:pPr>
      <w:r w:rsidRPr="00386771">
        <w:rPr>
          <w:rStyle w:val="FootnoteReference"/>
        </w:rPr>
        <w:footnoteRef/>
      </w:r>
      <w:r w:rsidRPr="00386771">
        <w:t xml:space="preserve"> Coleman, supra note </w:t>
      </w:r>
      <w:r w:rsidRPr="00386771">
        <w:fldChar w:fldCharType="begin"/>
      </w:r>
      <w:r w:rsidRPr="00386771">
        <w:instrText xml:space="preserve"> NOTEREF _Ref479433956 \h </w:instrText>
      </w:r>
      <w:r>
        <w:instrText xml:space="preserve"> \* MERGEFORMAT </w:instrText>
      </w:r>
      <w:r w:rsidRPr="00386771">
        <w:fldChar w:fldCharType="separate"/>
      </w:r>
      <w:r>
        <w:t>2</w:t>
      </w:r>
      <w:r w:rsidRPr="00386771">
        <w:fldChar w:fldCharType="end"/>
      </w:r>
      <w:r w:rsidRPr="00386771">
        <w:t>, at pp. 275-280</w:t>
      </w:r>
    </w:p>
  </w:footnote>
  <w:footnote w:id="73">
    <w:p w14:paraId="3AB43E5B" w14:textId="09DC6439" w:rsidR="008A474B" w:rsidRDefault="008A474B" w:rsidP="002B3D2D">
      <w:pPr>
        <w:pStyle w:val="FootnoteText"/>
      </w:pPr>
      <w:r>
        <w:rPr>
          <w:rStyle w:val="FootnoteReference"/>
        </w:rPr>
        <w:footnoteRef/>
      </w:r>
      <w:r>
        <w:t xml:space="preserve"> </w:t>
      </w:r>
      <w:r>
        <w:rPr>
          <w:rStyle w:val="selectable"/>
          <w:i/>
          <w:iCs/>
        </w:rPr>
        <w:t>MSS v Belgium and Greece</w:t>
      </w:r>
      <w:r>
        <w:rPr>
          <w:rStyle w:val="selectable"/>
        </w:rPr>
        <w:t xml:space="preserve"> [2011] European Court of Human Rights, Application no. 30696/09 (European Court of Human Rights). Para 286; </w:t>
      </w:r>
      <w:proofErr w:type="spellStart"/>
      <w:r>
        <w:rPr>
          <w:rStyle w:val="selectable"/>
        </w:rPr>
        <w:t>Mariagiulia</w:t>
      </w:r>
      <w:proofErr w:type="spellEnd"/>
      <w:r>
        <w:rPr>
          <w:rStyle w:val="selectable"/>
        </w:rPr>
        <w:t xml:space="preserve"> Giuffre, 'State Responsibility Beyond Borders: What Legal Basis </w:t>
      </w:r>
      <w:proofErr w:type="gramStart"/>
      <w:r>
        <w:rPr>
          <w:rStyle w:val="selectable"/>
        </w:rPr>
        <w:t>For</w:t>
      </w:r>
      <w:proofErr w:type="gramEnd"/>
      <w:r>
        <w:rPr>
          <w:rStyle w:val="selectable"/>
        </w:rPr>
        <w:t xml:space="preserve"> Italy's Push-Backs To Libya' (2013) 24 International Journal of Refugee Law 698, 725-728; </w:t>
      </w:r>
      <w:proofErr w:type="spellStart"/>
      <w:r>
        <w:rPr>
          <w:rStyle w:val="selectable"/>
        </w:rPr>
        <w:t>Sy</w:t>
      </w:r>
      <w:proofErr w:type="spellEnd"/>
      <w:r>
        <w:rPr>
          <w:rStyle w:val="selectable"/>
        </w:rPr>
        <w:t xml:space="preserve">, supra note </w:t>
      </w:r>
      <w:r>
        <w:rPr>
          <w:rStyle w:val="selectable"/>
        </w:rPr>
        <w:fldChar w:fldCharType="begin"/>
      </w:r>
      <w:r>
        <w:rPr>
          <w:rStyle w:val="selectable"/>
        </w:rPr>
        <w:instrText xml:space="preserve"> NOTEREF _Ref479456475 \h </w:instrText>
      </w:r>
      <w:r>
        <w:rPr>
          <w:rStyle w:val="selectable"/>
        </w:rPr>
      </w:r>
      <w:r>
        <w:rPr>
          <w:rStyle w:val="selectable"/>
        </w:rPr>
        <w:fldChar w:fldCharType="separate"/>
      </w:r>
      <w:r>
        <w:rPr>
          <w:rStyle w:val="selectable"/>
        </w:rPr>
        <w:t>70</w:t>
      </w:r>
      <w:r>
        <w:rPr>
          <w:rStyle w:val="selectable"/>
        </w:rPr>
        <w:fldChar w:fldCharType="end"/>
      </w:r>
      <w:r>
        <w:rPr>
          <w:rStyle w:val="selectable"/>
        </w:rPr>
        <w:t xml:space="preserve">, at pp. </w:t>
      </w:r>
      <w:r>
        <w:t xml:space="preserve">468-472; Costello, supra note </w:t>
      </w:r>
      <w:r>
        <w:fldChar w:fldCharType="begin"/>
      </w:r>
      <w:r>
        <w:instrText xml:space="preserve"> NOTEREF _Ref479447950 \h </w:instrText>
      </w:r>
      <w:r>
        <w:fldChar w:fldCharType="separate"/>
      </w:r>
      <w:r>
        <w:t>30</w:t>
      </w:r>
      <w:r>
        <w:fldChar w:fldCharType="end"/>
      </w:r>
      <w:r>
        <w:t>, at pp. 320</w:t>
      </w:r>
    </w:p>
  </w:footnote>
  <w:footnote w:id="74">
    <w:p w14:paraId="52FB1E26" w14:textId="298D3EDC" w:rsidR="008A474B" w:rsidRDefault="008A474B" w:rsidP="00F87BA1">
      <w:pPr>
        <w:pStyle w:val="FootnoteText"/>
      </w:pPr>
      <w:r>
        <w:rPr>
          <w:rStyle w:val="FootnoteReference"/>
        </w:rPr>
        <w:footnoteRef/>
      </w:r>
      <w:r>
        <w:t xml:space="preserve"> </w:t>
      </w:r>
      <w:r>
        <w:rPr>
          <w:rStyle w:val="selectable"/>
        </w:rPr>
        <w:t xml:space="preserve">Reinhard Marx and Katharina Lumpp, 'The German Constitutional Court's Decision Of 14 May 1996 </w:t>
      </w:r>
      <w:proofErr w:type="gramStart"/>
      <w:r>
        <w:rPr>
          <w:rStyle w:val="selectable"/>
        </w:rPr>
        <w:t>On</w:t>
      </w:r>
      <w:proofErr w:type="gramEnd"/>
      <w:r>
        <w:rPr>
          <w:rStyle w:val="selectable"/>
        </w:rPr>
        <w:t xml:space="preserve"> The Concept Of Safe Third Countries - A Basis For Burden Sharing In Europe?' (1996) 8 International Journal of Refugee Law.</w:t>
      </w:r>
      <w:r>
        <w:t xml:space="preserve">  427; Coleman, supra note </w:t>
      </w:r>
      <w:r>
        <w:fldChar w:fldCharType="begin"/>
      </w:r>
      <w:r>
        <w:instrText xml:space="preserve"> NOTEREF _Ref479433956 \h </w:instrText>
      </w:r>
      <w:r>
        <w:fldChar w:fldCharType="separate"/>
      </w:r>
      <w:r>
        <w:t>2</w:t>
      </w:r>
      <w:r>
        <w:fldChar w:fldCharType="end"/>
      </w:r>
      <w:r>
        <w:t>, at pp. 225</w:t>
      </w:r>
    </w:p>
  </w:footnote>
  <w:footnote w:id="75">
    <w:p w14:paraId="04968F23" w14:textId="6D41EAE2" w:rsidR="008A474B" w:rsidRDefault="008A474B">
      <w:pPr>
        <w:pStyle w:val="FootnoteText"/>
      </w:pPr>
      <w:r>
        <w:rPr>
          <w:rStyle w:val="FootnoteReference"/>
        </w:rPr>
        <w:footnoteRef/>
      </w:r>
      <w:r>
        <w:t xml:space="preserve"> European Council, supra note </w:t>
      </w:r>
      <w:r>
        <w:fldChar w:fldCharType="begin"/>
      </w:r>
      <w:r>
        <w:instrText xml:space="preserve"> NOTEREF _Ref479457510 \h </w:instrText>
      </w:r>
      <w:r>
        <w:fldChar w:fldCharType="separate"/>
      </w:r>
      <w:r>
        <w:t>4</w:t>
      </w:r>
      <w:r>
        <w:fldChar w:fldCharType="end"/>
      </w:r>
    </w:p>
  </w:footnote>
  <w:footnote w:id="76">
    <w:p w14:paraId="551F3E97" w14:textId="78C6BFCE" w:rsidR="008A474B" w:rsidRDefault="008A474B">
      <w:pPr>
        <w:pStyle w:val="FootnoteText"/>
      </w:pPr>
      <w:r>
        <w:rPr>
          <w:rStyle w:val="FootnoteReference"/>
        </w:rPr>
        <w:footnoteRef/>
      </w:r>
      <w:r>
        <w:t xml:space="preserve"> </w:t>
      </w:r>
      <w:r w:rsidRPr="00FE7974">
        <w:t xml:space="preserve">European Commission, 'EU-Turkey Statement: Questions </w:t>
      </w:r>
      <w:proofErr w:type="gramStart"/>
      <w:r w:rsidRPr="00FE7974">
        <w:t>And</w:t>
      </w:r>
      <w:proofErr w:type="gramEnd"/>
      <w:r w:rsidRPr="00FE7974">
        <w:t xml:space="preserve"> Answers' (2016) &lt;http://europa.eu/rapid/press-release_MEMO-16-963_en.htm&gt; a</w:t>
      </w:r>
      <w:r>
        <w:t xml:space="preserve">ccessed 8 April 2017; EU-Turkey Readmission Agreement, supra note </w:t>
      </w:r>
      <w:r>
        <w:fldChar w:fldCharType="begin"/>
      </w:r>
      <w:r>
        <w:instrText xml:space="preserve"> NOTEREF _Ref479513826 \h </w:instrText>
      </w:r>
      <w:r>
        <w:fldChar w:fldCharType="separate"/>
      </w:r>
      <w:r>
        <w:t>48</w:t>
      </w:r>
      <w:r>
        <w:fldChar w:fldCharType="end"/>
      </w:r>
      <w:r>
        <w:t>, Art. 24(3)</w:t>
      </w:r>
    </w:p>
  </w:footnote>
  <w:footnote w:id="77">
    <w:p w14:paraId="06C077CB" w14:textId="0E15E0B9" w:rsidR="008A474B" w:rsidRDefault="008A474B" w:rsidP="00F87BA1">
      <w:pPr>
        <w:pStyle w:val="FootnoteText"/>
      </w:pPr>
      <w:r>
        <w:rPr>
          <w:rStyle w:val="FootnoteReference"/>
        </w:rPr>
        <w:footnoteRef/>
      </w:r>
      <w:r>
        <w:t xml:space="preserve"> </w:t>
      </w:r>
      <w:r>
        <w:rPr>
          <w:rStyle w:val="selectable"/>
        </w:rPr>
        <w:t xml:space="preserve">Steve Peers, supra note </w:t>
      </w:r>
      <w:r>
        <w:rPr>
          <w:rStyle w:val="selectable"/>
        </w:rPr>
        <w:fldChar w:fldCharType="begin"/>
      </w:r>
      <w:r>
        <w:rPr>
          <w:rStyle w:val="selectable"/>
        </w:rPr>
        <w:instrText xml:space="preserve"> NOTEREF _Ref479462226 \h </w:instrText>
      </w:r>
      <w:r>
        <w:rPr>
          <w:rStyle w:val="selectable"/>
        </w:rPr>
      </w:r>
      <w:r>
        <w:rPr>
          <w:rStyle w:val="selectable"/>
        </w:rPr>
        <w:fldChar w:fldCharType="separate"/>
      </w:r>
      <w:r>
        <w:rPr>
          <w:rStyle w:val="selectable"/>
        </w:rPr>
        <w:t>3</w:t>
      </w:r>
      <w:r>
        <w:rPr>
          <w:rStyle w:val="selectable"/>
        </w:rPr>
        <w:fldChar w:fldCharType="end"/>
      </w:r>
    </w:p>
  </w:footnote>
  <w:footnote w:id="78">
    <w:p w14:paraId="7A48C1ED" w14:textId="50EF0A47" w:rsidR="008A474B" w:rsidRDefault="008A474B">
      <w:pPr>
        <w:pStyle w:val="FootnoteText"/>
      </w:pPr>
      <w:r>
        <w:rPr>
          <w:rStyle w:val="FootnoteReference"/>
        </w:rPr>
        <w:footnoteRef/>
      </w:r>
      <w:r>
        <w:t xml:space="preserve"> Asylum Procedures Directive, supra note </w:t>
      </w:r>
      <w:r>
        <w:fldChar w:fldCharType="begin"/>
      </w:r>
      <w:r>
        <w:instrText xml:space="preserve"> NOTEREF _Ref479448410 \h </w:instrText>
      </w:r>
      <w:r>
        <w:fldChar w:fldCharType="separate"/>
      </w:r>
      <w:r>
        <w:t>41</w:t>
      </w:r>
      <w:r>
        <w:fldChar w:fldCharType="end"/>
      </w:r>
      <w:r>
        <w:t>, Art. 33(2)(c)</w:t>
      </w:r>
    </w:p>
  </w:footnote>
  <w:footnote w:id="79">
    <w:p w14:paraId="20C04E03" w14:textId="6AE4E02D" w:rsidR="008A474B" w:rsidRDefault="008A474B" w:rsidP="00F87BA1">
      <w:pPr>
        <w:pStyle w:val="FootnoteText"/>
      </w:pPr>
      <w:r>
        <w:rPr>
          <w:rStyle w:val="FootnoteReference"/>
        </w:rPr>
        <w:footnoteRef/>
      </w:r>
      <w:r>
        <w:t xml:space="preserve"> </w:t>
      </w:r>
      <w:r>
        <w:rPr>
          <w:rStyle w:val="selectable"/>
        </w:rPr>
        <w:t xml:space="preserve">European Commission, supra note </w:t>
      </w:r>
      <w:r>
        <w:rPr>
          <w:rStyle w:val="selectable"/>
        </w:rPr>
        <w:fldChar w:fldCharType="begin"/>
      </w:r>
      <w:r>
        <w:rPr>
          <w:rStyle w:val="selectable"/>
        </w:rPr>
        <w:instrText xml:space="preserve"> NOTEREF _Ref479458005 \h </w:instrText>
      </w:r>
      <w:r>
        <w:rPr>
          <w:rStyle w:val="selectable"/>
        </w:rPr>
      </w:r>
      <w:r>
        <w:rPr>
          <w:rStyle w:val="selectable"/>
        </w:rPr>
        <w:fldChar w:fldCharType="separate"/>
      </w:r>
      <w:r>
        <w:rPr>
          <w:rStyle w:val="selectable"/>
        </w:rPr>
        <w:t>59</w:t>
      </w:r>
      <w:r>
        <w:rPr>
          <w:rStyle w:val="selectable"/>
        </w:rPr>
        <w:fldChar w:fldCharType="end"/>
      </w:r>
      <w:r>
        <w:rPr>
          <w:rStyle w:val="selectable"/>
        </w:rPr>
        <w:t>, at pp. 3</w:t>
      </w:r>
    </w:p>
  </w:footnote>
  <w:footnote w:id="80">
    <w:p w14:paraId="0C7D8376" w14:textId="77777777" w:rsidR="008A474B" w:rsidRDefault="008A474B" w:rsidP="00F87BA1">
      <w:pPr>
        <w:pStyle w:val="FootnoteText"/>
      </w:pPr>
      <w:r>
        <w:rPr>
          <w:rStyle w:val="FootnoteReference"/>
        </w:rPr>
        <w:footnoteRef/>
      </w:r>
      <w:r>
        <w:t xml:space="preserve"> </w:t>
      </w:r>
      <w:r>
        <w:rPr>
          <w:rStyle w:val="selectable"/>
        </w:rPr>
        <w:t>AIDA, 'Country Report: Turkey' (2015) &lt;http://www.asylumineurope.org/sites/default/files/report-download/aida_tr_update.i.pdf&gt; accessed 4 April 2017. 15</w:t>
      </w:r>
    </w:p>
  </w:footnote>
  <w:footnote w:id="81">
    <w:p w14:paraId="46290C73" w14:textId="1C8B766B" w:rsidR="008A474B" w:rsidRDefault="008A474B" w:rsidP="00F87BA1">
      <w:pPr>
        <w:pStyle w:val="FootnoteText"/>
      </w:pPr>
      <w:r>
        <w:rPr>
          <w:rStyle w:val="FootnoteReference"/>
        </w:rPr>
        <w:footnoteRef/>
      </w:r>
      <w:r>
        <w:t xml:space="preserve">  Ibid, at pp. 16</w:t>
      </w:r>
    </w:p>
  </w:footnote>
  <w:footnote w:id="82">
    <w:p w14:paraId="2FCF75AA" w14:textId="77777777" w:rsidR="008A474B" w:rsidRDefault="008A474B" w:rsidP="00F87BA1">
      <w:pPr>
        <w:pStyle w:val="FootnoteText"/>
      </w:pPr>
      <w:r>
        <w:rPr>
          <w:rStyle w:val="FootnoteReference"/>
        </w:rPr>
        <w:footnoteRef/>
      </w:r>
      <w:r>
        <w:t xml:space="preserve"> </w:t>
      </w:r>
      <w:r>
        <w:rPr>
          <w:rStyle w:val="selectable"/>
        </w:rPr>
        <w:t xml:space="preserve">Human Rights Watch, 'EU Policies Put Refugees </w:t>
      </w:r>
      <w:proofErr w:type="gramStart"/>
      <w:r>
        <w:rPr>
          <w:rStyle w:val="selectable"/>
        </w:rPr>
        <w:t>At</w:t>
      </w:r>
      <w:proofErr w:type="gramEnd"/>
      <w:r>
        <w:rPr>
          <w:rStyle w:val="selectable"/>
        </w:rPr>
        <w:t xml:space="preserve"> Risk' (2016) &lt;https://www.hrw.org/news/2016/11/23/eu-policies-put-refugees-risk&gt; accessed 1 April 2017; Eva </w:t>
      </w:r>
      <w:proofErr w:type="spellStart"/>
      <w:r>
        <w:rPr>
          <w:rStyle w:val="selectable"/>
        </w:rPr>
        <w:t>Cosse</w:t>
      </w:r>
      <w:proofErr w:type="spellEnd"/>
      <w:r>
        <w:rPr>
          <w:rStyle w:val="selectable"/>
        </w:rPr>
        <w:t>, 'The Unfairness Of Forcing Refugees In Greece Back To Turkey' (</w:t>
      </w:r>
      <w:r>
        <w:rPr>
          <w:rStyle w:val="selectable"/>
          <w:i/>
          <w:iCs/>
        </w:rPr>
        <w:t>Human Rights Watch</w:t>
      </w:r>
      <w:r>
        <w:rPr>
          <w:rStyle w:val="selectable"/>
        </w:rPr>
        <w:t>, 2017) &lt;https://www.hrw.org/news/2017/02/27/unfairness-forcing-refugees-greece-back-turkey&gt; accessed 1 April 2017.</w:t>
      </w:r>
    </w:p>
  </w:footnote>
  <w:footnote w:id="83">
    <w:p w14:paraId="44E1C516" w14:textId="6C949FCC" w:rsidR="008A474B" w:rsidRDefault="008A474B" w:rsidP="00F87BA1">
      <w:pPr>
        <w:pStyle w:val="FootnoteText"/>
      </w:pPr>
      <w:r>
        <w:rPr>
          <w:rStyle w:val="FootnoteReference"/>
        </w:rPr>
        <w:footnoteRef/>
      </w:r>
      <w:r>
        <w:t xml:space="preserve"> Amnesty International, </w:t>
      </w:r>
      <w:r w:rsidRPr="0087039D">
        <w:t xml:space="preserve">Turkey: Illegal Mass Returns </w:t>
      </w:r>
      <w:proofErr w:type="gramStart"/>
      <w:r w:rsidRPr="0087039D">
        <w:t>Of</w:t>
      </w:r>
      <w:proofErr w:type="gramEnd"/>
      <w:r w:rsidRPr="0087039D">
        <w:t xml:space="preserve"> Syrian Refugees Expose Fatal Flaws In EU-Turkey Deal' (Amnesty.org, 2017) &lt;https://www.amnesty.org/en/latest/news/2016/04/turkey-illegal-mass-returns-of-syrian-refugees-expose-fatal-flaws-in-eu-turkey-deal/&gt; accessed 8 April 2017.</w:t>
      </w:r>
    </w:p>
  </w:footnote>
  <w:footnote w:id="84">
    <w:p w14:paraId="2452BE07" w14:textId="65C6E247" w:rsidR="008A474B" w:rsidRDefault="008A474B" w:rsidP="00F87BA1">
      <w:pPr>
        <w:pStyle w:val="FootnoteText"/>
      </w:pPr>
      <w:r>
        <w:rPr>
          <w:rStyle w:val="FootnoteReference"/>
        </w:rPr>
        <w:footnoteRef/>
      </w:r>
      <w:r>
        <w:t xml:space="preserve"> Human Rights Watch, supra note </w:t>
      </w:r>
      <w:r>
        <w:fldChar w:fldCharType="begin"/>
      </w:r>
      <w:r>
        <w:instrText xml:space="preserve"> NOTEREF _Ref479458206 \h </w:instrText>
      </w:r>
      <w:r>
        <w:fldChar w:fldCharType="separate"/>
      </w:r>
      <w:r>
        <w:t>82</w:t>
      </w:r>
      <w:r>
        <w:fldChar w:fldCharType="end"/>
      </w:r>
    </w:p>
  </w:footnote>
  <w:footnote w:id="85">
    <w:p w14:paraId="2386ECE1" w14:textId="506FD7A5" w:rsidR="008A474B" w:rsidRDefault="008A474B" w:rsidP="00B14CCB">
      <w:pPr>
        <w:pStyle w:val="FootnoteText"/>
      </w:pPr>
      <w:r>
        <w:rPr>
          <w:rStyle w:val="FootnoteReference"/>
        </w:rPr>
        <w:footnoteRef/>
      </w:r>
      <w:r>
        <w:t xml:space="preserve"> Council of Europe, </w:t>
      </w:r>
      <w:r>
        <w:rPr>
          <w:i/>
          <w:iCs/>
        </w:rPr>
        <w:t>Protocol 4 to the European Convention for the Protection of Human Rights and Fundamental Freedoms, securing certain Rights and Freedoms other than those already included in the Convention and in the First Protocol thereto</w:t>
      </w:r>
      <w:r>
        <w:t xml:space="preserve">, 16 September 1963, ETS 46, Art. 4; The Charter, supra note </w:t>
      </w:r>
      <w:r>
        <w:fldChar w:fldCharType="begin"/>
      </w:r>
      <w:r>
        <w:instrText xml:space="preserve"> NOTEREF _Ref479465114 \h </w:instrText>
      </w:r>
      <w:r>
        <w:fldChar w:fldCharType="separate"/>
      </w:r>
      <w:r>
        <w:t>36</w:t>
      </w:r>
      <w:r>
        <w:fldChar w:fldCharType="end"/>
      </w:r>
      <w:r>
        <w:t xml:space="preserve">, at Art. 52(3) and 53 </w:t>
      </w:r>
    </w:p>
  </w:footnote>
  <w:footnote w:id="86">
    <w:p w14:paraId="2183F1CA" w14:textId="1B7C2F89" w:rsidR="008A474B" w:rsidRDefault="008A474B">
      <w:pPr>
        <w:pStyle w:val="FootnoteText"/>
      </w:pPr>
      <w:r>
        <w:rPr>
          <w:rStyle w:val="FootnoteReference"/>
        </w:rPr>
        <w:footnoteRef/>
      </w:r>
      <w:r>
        <w:t xml:space="preserve"> Costello, supra note </w:t>
      </w:r>
      <w:r>
        <w:fldChar w:fldCharType="begin"/>
      </w:r>
      <w:r>
        <w:instrText xml:space="preserve"> NOTEREF _Ref479447950 \h </w:instrText>
      </w:r>
      <w:r>
        <w:fldChar w:fldCharType="separate"/>
      </w:r>
      <w:r>
        <w:t>30</w:t>
      </w:r>
      <w:r>
        <w:fldChar w:fldCharType="end"/>
      </w:r>
      <w:r>
        <w:t xml:space="preserve">, at pp. 323; Peers, supra note </w:t>
      </w:r>
      <w:r>
        <w:fldChar w:fldCharType="begin"/>
      </w:r>
      <w:r>
        <w:instrText xml:space="preserve"> NOTEREF _Ref479462226 \h </w:instrText>
      </w:r>
      <w:r>
        <w:fldChar w:fldCharType="separate"/>
      </w:r>
      <w:r>
        <w:t>3</w:t>
      </w:r>
      <w:r>
        <w:fldChar w:fldCharType="end"/>
      </w:r>
    </w:p>
  </w:footnote>
  <w:footnote w:id="87">
    <w:p w14:paraId="2776458B" w14:textId="3D0CAB4C" w:rsidR="008A474B" w:rsidRDefault="008A474B">
      <w:pPr>
        <w:pStyle w:val="FootnoteText"/>
      </w:pPr>
      <w:r>
        <w:rPr>
          <w:rStyle w:val="FootnoteReference"/>
        </w:rPr>
        <w:footnoteRef/>
      </w:r>
      <w:r>
        <w:t xml:space="preserve"> Giuffre, supra note </w:t>
      </w:r>
      <w:r>
        <w:fldChar w:fldCharType="begin"/>
      </w:r>
      <w:r>
        <w:instrText xml:space="preserve"> NOTEREF _Ref479520902 \h </w:instrText>
      </w:r>
      <w:r>
        <w:fldChar w:fldCharType="separate"/>
      </w:r>
      <w:r>
        <w:t>73</w:t>
      </w:r>
      <w:r>
        <w:fldChar w:fldCharType="end"/>
      </w:r>
      <w:r>
        <w:t>, at pp. 718</w:t>
      </w:r>
    </w:p>
  </w:footnote>
  <w:footnote w:id="88">
    <w:p w14:paraId="02504C19" w14:textId="77777777" w:rsidR="008A474B" w:rsidRDefault="008A474B" w:rsidP="002B3D2D">
      <w:pPr>
        <w:pStyle w:val="FootnoteText"/>
      </w:pPr>
      <w:r>
        <w:rPr>
          <w:rStyle w:val="FootnoteReference"/>
        </w:rPr>
        <w:footnoteRef/>
      </w:r>
      <w:r>
        <w:t xml:space="preserve"> </w:t>
      </w:r>
      <w:r>
        <w:rPr>
          <w:rStyle w:val="selectable"/>
        </w:rPr>
        <w:t xml:space="preserve">Maarten Den </w:t>
      </w:r>
      <w:proofErr w:type="spellStart"/>
      <w:r>
        <w:rPr>
          <w:rStyle w:val="selectable"/>
        </w:rPr>
        <w:t>Heijer</w:t>
      </w:r>
      <w:proofErr w:type="spellEnd"/>
      <w:r>
        <w:rPr>
          <w:rStyle w:val="selectable"/>
        </w:rPr>
        <w:t xml:space="preserve">, 'Reflections On </w:t>
      </w:r>
      <w:proofErr w:type="spellStart"/>
      <w:r>
        <w:rPr>
          <w:rStyle w:val="selectable"/>
        </w:rPr>
        <w:t>Refoulement</w:t>
      </w:r>
      <w:proofErr w:type="spellEnd"/>
      <w:r>
        <w:rPr>
          <w:rStyle w:val="selectable"/>
        </w:rPr>
        <w:t xml:space="preserve"> And Collective Expulsion In The Hirsi Case' (2013) 25 International Journal of Refugee Law 265,</w:t>
      </w:r>
      <w:r>
        <w:t xml:space="preserve"> 266</w:t>
      </w:r>
    </w:p>
  </w:footnote>
  <w:footnote w:id="89">
    <w:p w14:paraId="5D83FFF2" w14:textId="66AAA1CC" w:rsidR="008A474B" w:rsidRDefault="008A474B" w:rsidP="002B3D2D">
      <w:pPr>
        <w:pStyle w:val="FootnoteText"/>
      </w:pPr>
      <w:r>
        <w:rPr>
          <w:rStyle w:val="FootnoteReference"/>
        </w:rPr>
        <w:footnoteRef/>
      </w:r>
      <w:r>
        <w:t xml:space="preserve"> Document, R (ex Parte European Roma Rights Centre et al) v Immigration officer at Prague Airport and another (UNHCR intervening) (2005) 17 </w:t>
      </w:r>
      <w:r>
        <w:rPr>
          <w:i/>
        </w:rPr>
        <w:t xml:space="preserve">International Journal of Refugee Law </w:t>
      </w:r>
      <w:r>
        <w:t xml:space="preserve">427; Costello, supra note </w:t>
      </w:r>
      <w:r>
        <w:fldChar w:fldCharType="begin"/>
      </w:r>
      <w:r>
        <w:instrText xml:space="preserve"> NOTEREF _Ref479447950 \h </w:instrText>
      </w:r>
      <w:r>
        <w:fldChar w:fldCharType="separate"/>
      </w:r>
      <w:r>
        <w:t>30</w:t>
      </w:r>
      <w:r>
        <w:fldChar w:fldCharType="end"/>
      </w:r>
      <w:r>
        <w:t>, at pp. 294-295</w:t>
      </w:r>
    </w:p>
  </w:footnote>
  <w:footnote w:id="90">
    <w:p w14:paraId="2BFECED8" w14:textId="22942296" w:rsidR="008A474B" w:rsidRDefault="008A474B" w:rsidP="002B3D2D">
      <w:pPr>
        <w:pStyle w:val="FootnoteText"/>
      </w:pPr>
      <w:r>
        <w:rPr>
          <w:rStyle w:val="FootnoteReference"/>
        </w:rPr>
        <w:footnoteRef/>
      </w:r>
      <w:r>
        <w:t xml:space="preserve"> </w:t>
      </w:r>
      <w:r>
        <w:rPr>
          <w:rStyle w:val="selectable"/>
        </w:rPr>
        <w:t xml:space="preserve">Ana Rita Gil, 'Collective Expulsions </w:t>
      </w:r>
      <w:proofErr w:type="gramStart"/>
      <w:r>
        <w:rPr>
          <w:rStyle w:val="selectable"/>
        </w:rPr>
        <w:t>In</w:t>
      </w:r>
      <w:proofErr w:type="gramEnd"/>
      <w:r>
        <w:rPr>
          <w:rStyle w:val="selectable"/>
        </w:rPr>
        <w:t xml:space="preserve"> Times Of Migratory Crisis: Comments On The </w:t>
      </w:r>
      <w:proofErr w:type="spellStart"/>
      <w:r>
        <w:rPr>
          <w:rStyle w:val="selectable"/>
        </w:rPr>
        <w:t>Khlaifia</w:t>
      </w:r>
      <w:proofErr w:type="spellEnd"/>
      <w:r>
        <w:rPr>
          <w:rStyle w:val="selectable"/>
        </w:rPr>
        <w:t xml:space="preserve"> Case Of The ECHR' &lt;http://eumigrationlawblog.eu/collective-expulsions-in-times-of-migratory-crisis-comments-on-the-khlaifia-case-of-the-echr/&gt; accessed 2 April 2017; </w:t>
      </w:r>
      <w:r>
        <w:t xml:space="preserve">Costello, supra note </w:t>
      </w:r>
      <w:r>
        <w:fldChar w:fldCharType="begin"/>
      </w:r>
      <w:r>
        <w:instrText xml:space="preserve"> NOTEREF _Ref479447950 \h </w:instrText>
      </w:r>
      <w:r>
        <w:fldChar w:fldCharType="separate"/>
      </w:r>
      <w:r>
        <w:t>30</w:t>
      </w:r>
      <w:r>
        <w:fldChar w:fldCharType="end"/>
      </w:r>
      <w:r>
        <w:t>, at pp. 294-296</w:t>
      </w:r>
    </w:p>
  </w:footnote>
  <w:footnote w:id="91">
    <w:p w14:paraId="7FDEE0DD" w14:textId="2BA74686" w:rsidR="008A474B" w:rsidRDefault="008A474B" w:rsidP="009672F9">
      <w:pPr>
        <w:pStyle w:val="FootnoteText"/>
      </w:pPr>
      <w:r>
        <w:rPr>
          <w:rStyle w:val="FootnoteReference"/>
        </w:rPr>
        <w:footnoteRef/>
      </w:r>
      <w:r>
        <w:t xml:space="preserve"> </w:t>
      </w:r>
      <w:proofErr w:type="spellStart"/>
      <w:r>
        <w:rPr>
          <w:rStyle w:val="selectable"/>
          <w:i/>
          <w:iCs/>
        </w:rPr>
        <w:t>Bankovic</w:t>
      </w:r>
      <w:proofErr w:type="spellEnd"/>
      <w:r>
        <w:rPr>
          <w:rStyle w:val="selectable"/>
          <w:i/>
          <w:iCs/>
        </w:rPr>
        <w:t xml:space="preserve"> and Others v Belgium and Others</w:t>
      </w:r>
      <w:r>
        <w:rPr>
          <w:rStyle w:val="selectable"/>
        </w:rPr>
        <w:t xml:space="preserve"> [2001] European Court of Human Rights, Application no. 52207/99 (European Court of Human Rights) Para 80; </w:t>
      </w:r>
      <w:r w:rsidRPr="00FF0DB0">
        <w:rPr>
          <w:rFonts w:ascii="Times New Roman" w:hAnsi="Times New Roman" w:cs="Times New Roman"/>
          <w:szCs w:val="24"/>
        </w:rPr>
        <w:t>Costello, supra note 30, at pp. 295-296</w:t>
      </w:r>
    </w:p>
  </w:footnote>
  <w:footnote w:id="92">
    <w:p w14:paraId="1BA551E8" w14:textId="12A274AA" w:rsidR="008A474B" w:rsidRDefault="008A474B">
      <w:pPr>
        <w:pStyle w:val="FootnoteText"/>
      </w:pPr>
      <w:r>
        <w:rPr>
          <w:rStyle w:val="FootnoteReference"/>
        </w:rPr>
        <w:footnoteRef/>
      </w:r>
      <w:r>
        <w:t xml:space="preserve"> </w:t>
      </w:r>
      <w:r w:rsidRPr="00F65DE2">
        <w:t>Al-</w:t>
      </w:r>
      <w:proofErr w:type="spellStart"/>
      <w:r w:rsidRPr="00F65DE2">
        <w:t>Skeini</w:t>
      </w:r>
      <w:proofErr w:type="spellEnd"/>
      <w:r w:rsidRPr="00F65DE2">
        <w:t xml:space="preserve"> and Others v United Kingdom App No 55721/07 (ECtHR, </w:t>
      </w:r>
      <w:r>
        <w:t xml:space="preserve">7 July 2011), para 135-137, 142; Costello, supra note </w:t>
      </w:r>
      <w:r>
        <w:fldChar w:fldCharType="begin"/>
      </w:r>
      <w:r>
        <w:instrText xml:space="preserve"> NOTEREF _Ref479447950 \h </w:instrText>
      </w:r>
      <w:r>
        <w:fldChar w:fldCharType="separate"/>
      </w:r>
      <w:r>
        <w:t>30</w:t>
      </w:r>
      <w:r>
        <w:fldChar w:fldCharType="end"/>
      </w:r>
      <w:r>
        <w:t>, at pp. 298-299</w:t>
      </w:r>
    </w:p>
  </w:footnote>
  <w:footnote w:id="93">
    <w:p w14:paraId="296AB615" w14:textId="3D742DBA" w:rsidR="008A474B" w:rsidRDefault="008A474B">
      <w:pPr>
        <w:pStyle w:val="FootnoteText"/>
      </w:pPr>
      <w:r>
        <w:rPr>
          <w:rStyle w:val="FootnoteReference"/>
        </w:rPr>
        <w:footnoteRef/>
      </w:r>
      <w:r>
        <w:t xml:space="preserve"> Al-</w:t>
      </w:r>
      <w:proofErr w:type="spellStart"/>
      <w:r>
        <w:t>Skeini</w:t>
      </w:r>
      <w:proofErr w:type="spellEnd"/>
      <w:r>
        <w:t xml:space="preserve"> and Others v. United Kingdom, supra note </w:t>
      </w:r>
      <w:r>
        <w:fldChar w:fldCharType="begin"/>
      </w:r>
      <w:r>
        <w:instrText xml:space="preserve"> NOTEREF _Ref479462631 \h </w:instrText>
      </w:r>
      <w:r>
        <w:fldChar w:fldCharType="separate"/>
      </w:r>
      <w:r>
        <w:t>92</w:t>
      </w:r>
      <w:r>
        <w:fldChar w:fldCharType="end"/>
      </w:r>
      <w:r>
        <w:t xml:space="preserve">, at para 135, 142; Costello, supra note </w:t>
      </w:r>
      <w:r>
        <w:fldChar w:fldCharType="begin"/>
      </w:r>
      <w:r>
        <w:instrText xml:space="preserve"> NOTEREF _Ref479447950 \h </w:instrText>
      </w:r>
      <w:r>
        <w:fldChar w:fldCharType="separate"/>
      </w:r>
      <w:r>
        <w:t>30</w:t>
      </w:r>
      <w:r>
        <w:fldChar w:fldCharType="end"/>
      </w:r>
      <w:r>
        <w:t xml:space="preserve">, at pp. 303; De Boer, supra note </w:t>
      </w:r>
      <w:r>
        <w:fldChar w:fldCharType="begin"/>
      </w:r>
      <w:r>
        <w:instrText xml:space="preserve"> NOTEREF _Ref479437454 \h </w:instrText>
      </w:r>
      <w:r>
        <w:fldChar w:fldCharType="separate"/>
      </w:r>
      <w:r>
        <w:t>7</w:t>
      </w:r>
      <w:r>
        <w:fldChar w:fldCharType="end"/>
      </w:r>
      <w:r>
        <w:t>, at pp. 125</w:t>
      </w:r>
    </w:p>
  </w:footnote>
  <w:footnote w:id="94">
    <w:p w14:paraId="1139FFB5" w14:textId="1B136BBC" w:rsidR="008A474B" w:rsidRDefault="008A474B">
      <w:pPr>
        <w:pStyle w:val="FootnoteText"/>
      </w:pPr>
      <w:r>
        <w:rPr>
          <w:rStyle w:val="FootnoteReference"/>
        </w:rPr>
        <w:footnoteRef/>
      </w:r>
      <w:r>
        <w:t xml:space="preserve"> </w:t>
      </w:r>
      <w:r w:rsidRPr="00265BCD">
        <w:rPr>
          <w:rFonts w:ascii="Times New Roman" w:hAnsi="Times New Roman" w:cs="Times New Roman"/>
          <w:szCs w:val="24"/>
        </w:rPr>
        <w:t>Cost</w:t>
      </w:r>
      <w:r>
        <w:rPr>
          <w:rFonts w:ascii="Times New Roman" w:hAnsi="Times New Roman" w:cs="Times New Roman"/>
          <w:szCs w:val="24"/>
        </w:rPr>
        <w:t xml:space="preserve">ello, supra note </w:t>
      </w:r>
      <w:r>
        <w:rPr>
          <w:rFonts w:ascii="Times New Roman" w:hAnsi="Times New Roman" w:cs="Times New Roman"/>
          <w:szCs w:val="24"/>
        </w:rPr>
        <w:fldChar w:fldCharType="begin"/>
      </w:r>
      <w:r>
        <w:rPr>
          <w:rFonts w:ascii="Times New Roman" w:hAnsi="Times New Roman" w:cs="Times New Roman"/>
          <w:szCs w:val="24"/>
        </w:rPr>
        <w:instrText xml:space="preserve"> NOTEREF _Ref479447950 \h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30</w:t>
      </w:r>
      <w:r>
        <w:rPr>
          <w:rFonts w:ascii="Times New Roman" w:hAnsi="Times New Roman" w:cs="Times New Roman"/>
          <w:szCs w:val="24"/>
        </w:rPr>
        <w:fldChar w:fldCharType="end"/>
      </w:r>
      <w:r>
        <w:rPr>
          <w:rFonts w:ascii="Times New Roman" w:hAnsi="Times New Roman" w:cs="Times New Roman"/>
          <w:szCs w:val="24"/>
        </w:rPr>
        <w:t>, at pp. 303</w:t>
      </w:r>
    </w:p>
  </w:footnote>
  <w:footnote w:id="95">
    <w:p w14:paraId="094F9D27" w14:textId="50FADCB2" w:rsidR="008A474B" w:rsidRDefault="008A474B" w:rsidP="002B3D2D">
      <w:pPr>
        <w:pStyle w:val="FootnoteText"/>
      </w:pPr>
      <w:r>
        <w:rPr>
          <w:rStyle w:val="FootnoteReference"/>
        </w:rPr>
        <w:footnoteRef/>
      </w:r>
      <w:r>
        <w:t xml:space="preserve"> Gil, supra note </w:t>
      </w:r>
      <w:r>
        <w:fldChar w:fldCharType="begin"/>
      </w:r>
      <w:r>
        <w:instrText xml:space="preserve"> NOTEREF _Ref478922991 \h </w:instrText>
      </w:r>
      <w:r>
        <w:fldChar w:fldCharType="separate"/>
      </w:r>
      <w:r>
        <w:t>90</w:t>
      </w:r>
      <w:r>
        <w:fldChar w:fldCharType="end"/>
      </w:r>
      <w:r>
        <w:t xml:space="preserve">; Costello, supra note </w:t>
      </w:r>
      <w:r>
        <w:fldChar w:fldCharType="begin"/>
      </w:r>
      <w:r>
        <w:instrText xml:space="preserve"> NOTEREF _Ref479447950 \h </w:instrText>
      </w:r>
      <w:r>
        <w:fldChar w:fldCharType="separate"/>
      </w:r>
      <w:r>
        <w:t>30</w:t>
      </w:r>
      <w:r>
        <w:fldChar w:fldCharType="end"/>
      </w:r>
      <w:r>
        <w:t>, at pp. 322-323</w:t>
      </w:r>
    </w:p>
  </w:footnote>
  <w:footnote w:id="96">
    <w:p w14:paraId="023BED5E" w14:textId="42DF7AC1" w:rsidR="008A474B" w:rsidRDefault="008A474B" w:rsidP="009672F9">
      <w:pPr>
        <w:pStyle w:val="FootnoteText"/>
      </w:pPr>
      <w:r>
        <w:rPr>
          <w:rStyle w:val="FootnoteReference"/>
        </w:rPr>
        <w:footnoteRef/>
      </w:r>
      <w:r>
        <w:t xml:space="preserve"> </w:t>
      </w:r>
      <w:r w:rsidRPr="00DB6542">
        <w:rPr>
          <w:rStyle w:val="selectable"/>
          <w:i/>
          <w:iCs/>
        </w:rPr>
        <w:t xml:space="preserve">Hirsi </w:t>
      </w:r>
      <w:proofErr w:type="spellStart"/>
      <w:r w:rsidRPr="00DB6542">
        <w:rPr>
          <w:rStyle w:val="selectable"/>
          <w:i/>
          <w:iCs/>
        </w:rPr>
        <w:t>Jamaa</w:t>
      </w:r>
      <w:proofErr w:type="spellEnd"/>
      <w:r w:rsidRPr="00DB6542">
        <w:rPr>
          <w:rStyle w:val="selectable"/>
          <w:i/>
          <w:iCs/>
        </w:rPr>
        <w:t xml:space="preserve"> and Others v Italy [2012] European Court of Human Rights, Application no. 27765/09 (</w:t>
      </w:r>
      <w:r>
        <w:rPr>
          <w:rStyle w:val="selectable"/>
          <w:i/>
          <w:iCs/>
        </w:rPr>
        <w:t xml:space="preserve">European Court of Human Rights), </w:t>
      </w:r>
      <w:r>
        <w:rPr>
          <w:rStyle w:val="selectable"/>
          <w:iCs/>
        </w:rPr>
        <w:t>P</w:t>
      </w:r>
      <w:r w:rsidRPr="00466099">
        <w:rPr>
          <w:rStyle w:val="selectable"/>
          <w:iCs/>
        </w:rPr>
        <w:t>ara 66</w:t>
      </w:r>
      <w:r>
        <w:rPr>
          <w:rStyle w:val="selectable"/>
          <w:i/>
          <w:iCs/>
        </w:rPr>
        <w:t xml:space="preserve">; </w:t>
      </w:r>
      <w:r w:rsidRPr="00265BCD">
        <w:rPr>
          <w:rFonts w:ascii="Times New Roman" w:hAnsi="Times New Roman" w:cs="Times New Roman"/>
          <w:szCs w:val="24"/>
        </w:rPr>
        <w:t>Cost</w:t>
      </w:r>
      <w:r>
        <w:rPr>
          <w:rFonts w:ascii="Times New Roman" w:hAnsi="Times New Roman" w:cs="Times New Roman"/>
          <w:szCs w:val="24"/>
        </w:rPr>
        <w:t xml:space="preserve">ello, supra note </w:t>
      </w:r>
      <w:r>
        <w:rPr>
          <w:rFonts w:ascii="Times New Roman" w:hAnsi="Times New Roman" w:cs="Times New Roman"/>
          <w:szCs w:val="24"/>
        </w:rPr>
        <w:fldChar w:fldCharType="begin"/>
      </w:r>
      <w:r>
        <w:rPr>
          <w:rFonts w:ascii="Times New Roman" w:hAnsi="Times New Roman" w:cs="Times New Roman"/>
          <w:szCs w:val="24"/>
        </w:rPr>
        <w:instrText xml:space="preserve"> NOTEREF _Ref479447950 \h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30</w:t>
      </w:r>
      <w:r>
        <w:rPr>
          <w:rFonts w:ascii="Times New Roman" w:hAnsi="Times New Roman" w:cs="Times New Roman"/>
          <w:szCs w:val="24"/>
        </w:rPr>
        <w:fldChar w:fldCharType="end"/>
      </w:r>
      <w:r>
        <w:rPr>
          <w:rFonts w:ascii="Times New Roman" w:hAnsi="Times New Roman" w:cs="Times New Roman"/>
          <w:szCs w:val="24"/>
        </w:rPr>
        <w:t>, at pp. 300</w:t>
      </w:r>
    </w:p>
  </w:footnote>
  <w:footnote w:id="97">
    <w:p w14:paraId="01D4A310" w14:textId="64190CD2" w:rsidR="008A474B" w:rsidRDefault="008A474B" w:rsidP="00DB6542">
      <w:pPr>
        <w:pStyle w:val="FootnoteText"/>
      </w:pPr>
      <w:r>
        <w:rPr>
          <w:rStyle w:val="FootnoteReference"/>
        </w:rPr>
        <w:footnoteRef/>
      </w:r>
      <w:r>
        <w:t xml:space="preserve"> </w:t>
      </w:r>
      <w:r>
        <w:rPr>
          <w:rStyle w:val="selectable"/>
          <w:i/>
          <w:iCs/>
        </w:rPr>
        <w:t xml:space="preserve">Hirsi </w:t>
      </w:r>
      <w:proofErr w:type="spellStart"/>
      <w:r>
        <w:rPr>
          <w:rStyle w:val="selectable"/>
          <w:i/>
          <w:iCs/>
        </w:rPr>
        <w:t>Jamaa</w:t>
      </w:r>
      <w:proofErr w:type="spellEnd"/>
      <w:r>
        <w:rPr>
          <w:rStyle w:val="selectable"/>
          <w:i/>
          <w:iCs/>
        </w:rPr>
        <w:t xml:space="preserve"> and Others v Italy, supra note </w:t>
      </w:r>
      <w:r>
        <w:rPr>
          <w:rStyle w:val="selectable"/>
          <w:i/>
          <w:iCs/>
        </w:rPr>
        <w:fldChar w:fldCharType="begin"/>
      </w:r>
      <w:r>
        <w:rPr>
          <w:rStyle w:val="selectable"/>
          <w:i/>
          <w:iCs/>
        </w:rPr>
        <w:instrText xml:space="preserve"> NOTEREF _Ref479463528 \h </w:instrText>
      </w:r>
      <w:r>
        <w:rPr>
          <w:rStyle w:val="selectable"/>
          <w:i/>
          <w:iCs/>
        </w:rPr>
      </w:r>
      <w:r>
        <w:rPr>
          <w:rStyle w:val="selectable"/>
          <w:i/>
          <w:iCs/>
        </w:rPr>
        <w:fldChar w:fldCharType="separate"/>
      </w:r>
      <w:r>
        <w:rPr>
          <w:rStyle w:val="selectable"/>
          <w:i/>
          <w:iCs/>
        </w:rPr>
        <w:t>96</w:t>
      </w:r>
      <w:r>
        <w:rPr>
          <w:rStyle w:val="selectable"/>
          <w:i/>
          <w:iCs/>
        </w:rPr>
        <w:fldChar w:fldCharType="end"/>
      </w:r>
      <w:r>
        <w:rPr>
          <w:rStyle w:val="selectable"/>
          <w:i/>
          <w:iCs/>
        </w:rPr>
        <w:t xml:space="preserve">, </w:t>
      </w:r>
      <w:r>
        <w:rPr>
          <w:rStyle w:val="selectable"/>
          <w:iCs/>
        </w:rPr>
        <w:t>Para 77-81</w:t>
      </w:r>
      <w:r>
        <w:rPr>
          <w:rStyle w:val="selectable"/>
          <w:i/>
          <w:iCs/>
        </w:rPr>
        <w:t xml:space="preserve">; </w:t>
      </w:r>
      <w:r w:rsidRPr="00265BCD">
        <w:rPr>
          <w:rFonts w:ascii="Times New Roman" w:hAnsi="Times New Roman" w:cs="Times New Roman"/>
          <w:szCs w:val="24"/>
        </w:rPr>
        <w:t>Cost</w:t>
      </w:r>
      <w:r>
        <w:rPr>
          <w:rFonts w:ascii="Times New Roman" w:hAnsi="Times New Roman" w:cs="Times New Roman"/>
          <w:szCs w:val="24"/>
        </w:rPr>
        <w:t xml:space="preserve">ello, supra note </w:t>
      </w:r>
      <w:r>
        <w:rPr>
          <w:rFonts w:ascii="Times New Roman" w:hAnsi="Times New Roman" w:cs="Times New Roman"/>
          <w:szCs w:val="24"/>
        </w:rPr>
        <w:fldChar w:fldCharType="begin"/>
      </w:r>
      <w:r>
        <w:rPr>
          <w:rFonts w:ascii="Times New Roman" w:hAnsi="Times New Roman" w:cs="Times New Roman"/>
          <w:szCs w:val="24"/>
        </w:rPr>
        <w:instrText xml:space="preserve"> NOTEREF _Ref479447950 \h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30</w:t>
      </w:r>
      <w:r>
        <w:rPr>
          <w:rFonts w:ascii="Times New Roman" w:hAnsi="Times New Roman" w:cs="Times New Roman"/>
          <w:szCs w:val="24"/>
        </w:rPr>
        <w:fldChar w:fldCharType="end"/>
      </w:r>
      <w:r>
        <w:rPr>
          <w:rFonts w:ascii="Times New Roman" w:hAnsi="Times New Roman" w:cs="Times New Roman"/>
          <w:szCs w:val="24"/>
        </w:rPr>
        <w:t>, at pp. 300</w:t>
      </w:r>
    </w:p>
  </w:footnote>
  <w:footnote w:id="98">
    <w:p w14:paraId="4E4CA9EC" w14:textId="5C0A0AEE" w:rsidR="008A474B" w:rsidRDefault="008A474B" w:rsidP="002B3D2D">
      <w:pPr>
        <w:pStyle w:val="FootnoteText"/>
      </w:pPr>
      <w:r>
        <w:rPr>
          <w:rStyle w:val="FootnoteReference"/>
        </w:rPr>
        <w:footnoteRef/>
      </w:r>
      <w:r>
        <w:t xml:space="preserve"> </w:t>
      </w:r>
      <w:r w:rsidRPr="00105FB6">
        <w:rPr>
          <w:rStyle w:val="selectable"/>
          <w:i/>
          <w:iCs/>
        </w:rPr>
        <w:t xml:space="preserve">Violeta Moreno-Lax, 'Hirsi </w:t>
      </w:r>
      <w:proofErr w:type="spellStart"/>
      <w:r w:rsidRPr="00105FB6">
        <w:rPr>
          <w:rStyle w:val="selectable"/>
          <w:i/>
          <w:iCs/>
        </w:rPr>
        <w:t>Jamaa</w:t>
      </w:r>
      <w:proofErr w:type="spellEnd"/>
      <w:r w:rsidRPr="00105FB6">
        <w:rPr>
          <w:rStyle w:val="selectable"/>
          <w:i/>
          <w:iCs/>
        </w:rPr>
        <w:t xml:space="preserve"> And Others V Italy Or </w:t>
      </w:r>
      <w:proofErr w:type="gramStart"/>
      <w:r w:rsidRPr="00105FB6">
        <w:rPr>
          <w:rStyle w:val="selectable"/>
          <w:i/>
          <w:iCs/>
        </w:rPr>
        <w:t>The</w:t>
      </w:r>
      <w:proofErr w:type="gramEnd"/>
      <w:r w:rsidRPr="00105FB6">
        <w:rPr>
          <w:rStyle w:val="selectable"/>
          <w:i/>
          <w:iCs/>
        </w:rPr>
        <w:t xml:space="preserve"> Strasbourg Court Versus Extraterritorial Migration Control?' (2012) 12 Human Rights </w:t>
      </w:r>
      <w:r>
        <w:rPr>
          <w:rStyle w:val="selectable"/>
          <w:i/>
          <w:iCs/>
        </w:rPr>
        <w:t>Law Review 574,  581-582;</w:t>
      </w:r>
      <w:r w:rsidRPr="00DE6D1D">
        <w:rPr>
          <w:rStyle w:val="selectable"/>
          <w:i/>
          <w:iCs/>
        </w:rPr>
        <w:t xml:space="preserve"> </w:t>
      </w:r>
      <w:r>
        <w:rPr>
          <w:rStyle w:val="selectable"/>
          <w:i/>
          <w:iCs/>
        </w:rPr>
        <w:t xml:space="preserve">Hirsi </w:t>
      </w:r>
      <w:proofErr w:type="spellStart"/>
      <w:r>
        <w:rPr>
          <w:rStyle w:val="selectable"/>
          <w:i/>
          <w:iCs/>
        </w:rPr>
        <w:t>Jamaa</w:t>
      </w:r>
      <w:proofErr w:type="spellEnd"/>
      <w:r>
        <w:rPr>
          <w:rStyle w:val="selectable"/>
          <w:i/>
          <w:iCs/>
        </w:rPr>
        <w:t xml:space="preserve"> and Others v Italy, supra note </w:t>
      </w:r>
      <w:r>
        <w:rPr>
          <w:rStyle w:val="selectable"/>
          <w:i/>
          <w:iCs/>
        </w:rPr>
        <w:fldChar w:fldCharType="begin"/>
      </w:r>
      <w:r>
        <w:rPr>
          <w:rStyle w:val="selectable"/>
          <w:i/>
          <w:iCs/>
        </w:rPr>
        <w:instrText xml:space="preserve"> NOTEREF _Ref479463528 \h </w:instrText>
      </w:r>
      <w:r>
        <w:rPr>
          <w:rStyle w:val="selectable"/>
          <w:i/>
          <w:iCs/>
        </w:rPr>
      </w:r>
      <w:r>
        <w:rPr>
          <w:rStyle w:val="selectable"/>
          <w:i/>
          <w:iCs/>
        </w:rPr>
        <w:fldChar w:fldCharType="separate"/>
      </w:r>
      <w:r>
        <w:rPr>
          <w:rStyle w:val="selectable"/>
          <w:i/>
          <w:iCs/>
        </w:rPr>
        <w:t>96</w:t>
      </w:r>
      <w:r>
        <w:rPr>
          <w:rStyle w:val="selectable"/>
          <w:i/>
          <w:iCs/>
        </w:rPr>
        <w:fldChar w:fldCharType="end"/>
      </w:r>
      <w:r>
        <w:rPr>
          <w:rStyle w:val="selectable"/>
          <w:i/>
          <w:iCs/>
        </w:rPr>
        <w:t xml:space="preserve">, para 73, 81, 174; </w:t>
      </w:r>
      <w:r>
        <w:t xml:space="preserve">De Boer, supra note </w:t>
      </w:r>
      <w:r>
        <w:fldChar w:fldCharType="begin"/>
      </w:r>
      <w:r>
        <w:instrText xml:space="preserve"> NOTEREF _Ref479437454 \h </w:instrText>
      </w:r>
      <w:r>
        <w:fldChar w:fldCharType="separate"/>
      </w:r>
      <w:r>
        <w:t>7</w:t>
      </w:r>
      <w:r>
        <w:fldChar w:fldCharType="end"/>
      </w:r>
      <w:r>
        <w:t xml:space="preserve">, at pp. 129-131; Giuffre, supra note </w:t>
      </w:r>
      <w:r>
        <w:fldChar w:fldCharType="begin"/>
      </w:r>
      <w:r>
        <w:instrText xml:space="preserve"> NOTEREF _Ref479520902 \h </w:instrText>
      </w:r>
      <w:r>
        <w:fldChar w:fldCharType="separate"/>
      </w:r>
      <w:r>
        <w:t>73</w:t>
      </w:r>
      <w:r>
        <w:fldChar w:fldCharType="end"/>
      </w:r>
      <w:r>
        <w:t>, at pp. 719-720</w:t>
      </w:r>
    </w:p>
  </w:footnote>
  <w:footnote w:id="99">
    <w:p w14:paraId="6AA86F78" w14:textId="54857345" w:rsidR="008A474B" w:rsidRDefault="008A474B">
      <w:pPr>
        <w:pStyle w:val="FootnoteText"/>
      </w:pPr>
      <w:r>
        <w:rPr>
          <w:rStyle w:val="FootnoteReference"/>
        </w:rPr>
        <w:footnoteRef/>
      </w:r>
      <w:r>
        <w:t xml:space="preserve"> Giuffre, supra note</w:t>
      </w:r>
      <w:r>
        <w:fldChar w:fldCharType="begin"/>
      </w:r>
      <w:r>
        <w:instrText xml:space="preserve"> NOTEREF _Ref479520902 \h </w:instrText>
      </w:r>
      <w:r>
        <w:fldChar w:fldCharType="separate"/>
      </w:r>
      <w:r>
        <w:t>73</w:t>
      </w:r>
      <w:r>
        <w:fldChar w:fldCharType="end"/>
      </w:r>
      <w:r>
        <w:t>, at pp. 720-723</w:t>
      </w:r>
    </w:p>
  </w:footnote>
  <w:footnote w:id="100">
    <w:p w14:paraId="3B6F9499" w14:textId="67FB2D1A" w:rsidR="008A474B" w:rsidRDefault="008A474B">
      <w:pPr>
        <w:pStyle w:val="FootnoteText"/>
      </w:pPr>
      <w:r>
        <w:rPr>
          <w:rStyle w:val="FootnoteReference"/>
        </w:rPr>
        <w:footnoteRef/>
      </w:r>
      <w:r>
        <w:t xml:space="preserve"> </w:t>
      </w:r>
      <w:r>
        <w:rPr>
          <w:rStyle w:val="selectable"/>
        </w:rPr>
        <w:t xml:space="preserve">European Council, supra note </w:t>
      </w:r>
      <w:r>
        <w:rPr>
          <w:rStyle w:val="selectable"/>
        </w:rPr>
        <w:fldChar w:fldCharType="begin"/>
      </w:r>
      <w:r>
        <w:rPr>
          <w:rStyle w:val="selectable"/>
        </w:rPr>
        <w:instrText xml:space="preserve"> NOTEREF _Ref479457510 \h </w:instrText>
      </w:r>
      <w:r>
        <w:rPr>
          <w:rStyle w:val="selectable"/>
        </w:rPr>
      </w:r>
      <w:r>
        <w:rPr>
          <w:rStyle w:val="selectable"/>
        </w:rPr>
        <w:fldChar w:fldCharType="separate"/>
      </w:r>
      <w:r>
        <w:rPr>
          <w:rStyle w:val="selectable"/>
        </w:rPr>
        <w:t>4</w:t>
      </w:r>
      <w:r>
        <w:rPr>
          <w:rStyle w:val="selectable"/>
        </w:rPr>
        <w:fldChar w:fldCharType="end"/>
      </w:r>
      <w:r>
        <w:rPr>
          <w:rStyle w:val="selectable"/>
        </w:rPr>
        <w:t>;</w:t>
      </w:r>
      <w:r w:rsidRPr="00E63E39">
        <w:rPr>
          <w:rStyle w:val="selectable"/>
        </w:rPr>
        <w:t xml:space="preserve"> </w:t>
      </w:r>
      <w:r>
        <w:rPr>
          <w:rStyle w:val="selectable"/>
        </w:rPr>
        <w:t xml:space="preserve">Peers, supra note </w:t>
      </w:r>
      <w:r>
        <w:rPr>
          <w:rStyle w:val="selectable"/>
        </w:rPr>
        <w:fldChar w:fldCharType="begin"/>
      </w:r>
      <w:r>
        <w:rPr>
          <w:rStyle w:val="selectable"/>
        </w:rPr>
        <w:instrText xml:space="preserve"> NOTEREF _Ref479462226 \h </w:instrText>
      </w:r>
      <w:r>
        <w:rPr>
          <w:rStyle w:val="selectable"/>
        </w:rPr>
      </w:r>
      <w:r>
        <w:rPr>
          <w:rStyle w:val="selectable"/>
        </w:rPr>
        <w:fldChar w:fldCharType="separate"/>
      </w:r>
      <w:r>
        <w:rPr>
          <w:rStyle w:val="selectable"/>
        </w:rPr>
        <w:t>3</w:t>
      </w:r>
      <w:r>
        <w:rPr>
          <w:rStyle w:val="selectable"/>
        </w:rPr>
        <w:fldChar w:fldCharType="end"/>
      </w:r>
    </w:p>
  </w:footnote>
  <w:footnote w:id="101">
    <w:p w14:paraId="6E1FAAE2" w14:textId="57C72FE0" w:rsidR="008A474B" w:rsidRDefault="008A474B" w:rsidP="002B3D2D">
      <w:pPr>
        <w:pStyle w:val="FootnoteText"/>
      </w:pPr>
      <w:r>
        <w:rPr>
          <w:rStyle w:val="FootnoteReference"/>
        </w:rPr>
        <w:footnoteRef/>
      </w:r>
      <w:r>
        <w:t xml:space="preserve"> Ibid</w:t>
      </w:r>
    </w:p>
  </w:footnote>
  <w:footnote w:id="102">
    <w:p w14:paraId="5C348010" w14:textId="1796F06C" w:rsidR="008A474B" w:rsidRDefault="008A474B" w:rsidP="00D93CF3">
      <w:pPr>
        <w:pStyle w:val="FootnoteText"/>
      </w:pPr>
      <w:r>
        <w:rPr>
          <w:rStyle w:val="FootnoteReference"/>
        </w:rPr>
        <w:footnoteRef/>
      </w:r>
      <w:r>
        <w:t xml:space="preserve"> Asylum Procedures Directive, supra note </w:t>
      </w:r>
      <w:r>
        <w:fldChar w:fldCharType="begin"/>
      </w:r>
      <w:r>
        <w:instrText xml:space="preserve"> NOTEREF _Ref479448410 \h </w:instrText>
      </w:r>
      <w:r>
        <w:fldChar w:fldCharType="separate"/>
      </w:r>
      <w:r>
        <w:t>41</w:t>
      </w:r>
      <w:r>
        <w:fldChar w:fldCharType="end"/>
      </w:r>
      <w:r>
        <w:t xml:space="preserve">, Art. 25 </w:t>
      </w:r>
    </w:p>
  </w:footnote>
  <w:footnote w:id="103">
    <w:p w14:paraId="1919368C" w14:textId="4490EE85" w:rsidR="008A474B" w:rsidRDefault="008A474B">
      <w:pPr>
        <w:pStyle w:val="FootnoteText"/>
      </w:pPr>
      <w:r>
        <w:rPr>
          <w:rStyle w:val="FootnoteReference"/>
        </w:rPr>
        <w:footnoteRef/>
      </w:r>
      <w:r>
        <w:t xml:space="preserve"> Peers, supra note </w:t>
      </w:r>
      <w:r>
        <w:fldChar w:fldCharType="begin"/>
      </w:r>
      <w:r>
        <w:instrText xml:space="preserve"> NOTEREF _Ref479462226 \h </w:instrText>
      </w:r>
      <w:r>
        <w:fldChar w:fldCharType="separate"/>
      </w:r>
      <w:r>
        <w:t>3</w:t>
      </w:r>
      <w:r>
        <w:fldChar w:fldCharType="end"/>
      </w:r>
    </w:p>
  </w:footnote>
  <w:footnote w:id="104">
    <w:p w14:paraId="39CF2671" w14:textId="3F8DE08F" w:rsidR="008A474B" w:rsidRDefault="008A474B" w:rsidP="00A250BF">
      <w:pPr>
        <w:pStyle w:val="FootnoteText"/>
      </w:pPr>
      <w:r>
        <w:rPr>
          <w:rStyle w:val="FootnoteReference"/>
        </w:rPr>
        <w:footnoteRef/>
      </w:r>
      <w:r>
        <w:t xml:space="preserve"> Peers, supra note </w:t>
      </w:r>
      <w:r>
        <w:fldChar w:fldCharType="begin"/>
      </w:r>
      <w:r>
        <w:instrText xml:space="preserve"> NOTEREF _Ref479462226 \h </w:instrText>
      </w:r>
      <w:r>
        <w:fldChar w:fldCharType="separate"/>
      </w:r>
      <w:r>
        <w:t>3</w:t>
      </w:r>
      <w:r>
        <w:fldChar w:fldCharType="end"/>
      </w:r>
      <w:r>
        <w:t xml:space="preserve">; Returns Directive, supra note </w:t>
      </w:r>
      <w:r>
        <w:fldChar w:fldCharType="begin"/>
      </w:r>
      <w:r>
        <w:instrText xml:space="preserve"> NOTEREF _Ref479451947 \h </w:instrText>
      </w:r>
      <w:r>
        <w:fldChar w:fldCharType="separate"/>
      </w:r>
      <w:r>
        <w:t>42</w:t>
      </w:r>
      <w:r>
        <w:fldChar w:fldCharType="end"/>
      </w:r>
    </w:p>
  </w:footnote>
  <w:footnote w:id="105">
    <w:p w14:paraId="6AEF2E36" w14:textId="4ED185E1" w:rsidR="008A474B" w:rsidRDefault="008A474B" w:rsidP="00D93CF3">
      <w:pPr>
        <w:pStyle w:val="FootnoteText"/>
      </w:pPr>
      <w:r>
        <w:rPr>
          <w:rStyle w:val="FootnoteReference"/>
        </w:rPr>
        <w:footnoteRef/>
      </w:r>
      <w:r>
        <w:t xml:space="preserve"> </w:t>
      </w:r>
      <w:r>
        <w:rPr>
          <w:rStyle w:val="selectable"/>
        </w:rPr>
        <w:t xml:space="preserve">Peers, supra note </w:t>
      </w:r>
      <w:r>
        <w:rPr>
          <w:rStyle w:val="selectable"/>
        </w:rPr>
        <w:fldChar w:fldCharType="begin"/>
      </w:r>
      <w:r>
        <w:rPr>
          <w:rStyle w:val="selectable"/>
        </w:rPr>
        <w:instrText xml:space="preserve"> NOTEREF _Ref479462226 \h </w:instrText>
      </w:r>
      <w:r>
        <w:rPr>
          <w:rStyle w:val="selectable"/>
        </w:rPr>
      </w:r>
      <w:r>
        <w:rPr>
          <w:rStyle w:val="selectable"/>
        </w:rPr>
        <w:fldChar w:fldCharType="separate"/>
      </w:r>
      <w:r>
        <w:rPr>
          <w:rStyle w:val="selectable"/>
        </w:rPr>
        <w:t>3</w:t>
      </w:r>
      <w:r>
        <w:rPr>
          <w:rStyle w:val="selectable"/>
        </w:rPr>
        <w:fldChar w:fldCharType="end"/>
      </w:r>
    </w:p>
  </w:footnote>
  <w:footnote w:id="106">
    <w:p w14:paraId="33C63379" w14:textId="3C2E0B26" w:rsidR="008A474B" w:rsidRDefault="008A474B" w:rsidP="00DB6542">
      <w:pPr>
        <w:pStyle w:val="FootnoteText"/>
      </w:pPr>
      <w:r>
        <w:rPr>
          <w:rStyle w:val="FootnoteReference"/>
        </w:rPr>
        <w:footnoteRef/>
      </w:r>
      <w:r>
        <w:t xml:space="preserve"> UNHCR (Advisory Opinion), </w:t>
      </w:r>
      <w:r>
        <w:rPr>
          <w:rStyle w:val="selectable"/>
        </w:rPr>
        <w:t xml:space="preserve">supra note </w:t>
      </w:r>
      <w:r>
        <w:rPr>
          <w:rStyle w:val="selectable"/>
        </w:rPr>
        <w:fldChar w:fldCharType="begin"/>
      </w:r>
      <w:r>
        <w:rPr>
          <w:rStyle w:val="selectable"/>
        </w:rPr>
        <w:instrText xml:space="preserve"> NOTEREF _Ref479455847 \h </w:instrText>
      </w:r>
      <w:r>
        <w:rPr>
          <w:rStyle w:val="selectable"/>
        </w:rPr>
      </w:r>
      <w:r>
        <w:rPr>
          <w:rStyle w:val="selectable"/>
        </w:rPr>
        <w:fldChar w:fldCharType="separate"/>
      </w:r>
      <w:r>
        <w:rPr>
          <w:rStyle w:val="selectable"/>
        </w:rPr>
        <w:t>64</w:t>
      </w:r>
      <w:r>
        <w:rPr>
          <w:rStyle w:val="selectable"/>
        </w:rPr>
        <w:fldChar w:fldCharType="end"/>
      </w:r>
      <w:r>
        <w:rPr>
          <w:rStyle w:val="selectable"/>
        </w:rPr>
        <w:t xml:space="preserve">, </w:t>
      </w:r>
      <w:r>
        <w:t xml:space="preserve">Para 27, pp. 13; Coleman, supra note </w:t>
      </w:r>
      <w:r>
        <w:fldChar w:fldCharType="begin"/>
      </w:r>
      <w:r>
        <w:instrText xml:space="preserve"> NOTEREF _Ref479433956 \h </w:instrText>
      </w:r>
      <w:r>
        <w:fldChar w:fldCharType="separate"/>
      </w:r>
      <w:r>
        <w:t>2</w:t>
      </w:r>
      <w:r>
        <w:fldChar w:fldCharType="end"/>
      </w:r>
      <w:r>
        <w:t xml:space="preserve">, at pp. 314-315; Mink, supra note </w:t>
      </w:r>
      <w:r>
        <w:fldChar w:fldCharType="begin"/>
      </w:r>
      <w:r>
        <w:instrText xml:space="preserve"> NOTEREF _Ref479437454 \h </w:instrText>
      </w:r>
      <w:r>
        <w:fldChar w:fldCharType="separate"/>
      </w:r>
      <w:r>
        <w:t>7</w:t>
      </w:r>
      <w:r>
        <w:fldChar w:fldCharType="end"/>
      </w:r>
      <w:r>
        <w:t>, at pp.136</w:t>
      </w:r>
    </w:p>
  </w:footnote>
  <w:footnote w:id="107">
    <w:p w14:paraId="3321C2C1" w14:textId="1AC27792" w:rsidR="008A474B" w:rsidRDefault="008A474B">
      <w:pPr>
        <w:pStyle w:val="FootnoteText"/>
      </w:pPr>
      <w:r>
        <w:rPr>
          <w:rStyle w:val="FootnoteReference"/>
        </w:rPr>
        <w:footnoteRef/>
      </w:r>
      <w:r>
        <w:t xml:space="preserve"> </w:t>
      </w:r>
      <w:proofErr w:type="spellStart"/>
      <w:r>
        <w:rPr>
          <w:rStyle w:val="selectable"/>
        </w:rPr>
        <w:t>Sy</w:t>
      </w:r>
      <w:proofErr w:type="spellEnd"/>
      <w:r>
        <w:rPr>
          <w:rStyle w:val="selectable"/>
        </w:rPr>
        <w:t xml:space="preserve">, supra note </w:t>
      </w:r>
      <w:r>
        <w:rPr>
          <w:rStyle w:val="selectable"/>
        </w:rPr>
        <w:fldChar w:fldCharType="begin"/>
      </w:r>
      <w:r>
        <w:rPr>
          <w:rStyle w:val="selectable"/>
        </w:rPr>
        <w:instrText xml:space="preserve"> NOTEREF _Ref479456475 \h </w:instrText>
      </w:r>
      <w:r>
        <w:rPr>
          <w:rStyle w:val="selectable"/>
        </w:rPr>
      </w:r>
      <w:r>
        <w:rPr>
          <w:rStyle w:val="selectable"/>
        </w:rPr>
        <w:fldChar w:fldCharType="separate"/>
      </w:r>
      <w:r>
        <w:rPr>
          <w:rStyle w:val="selectable"/>
        </w:rPr>
        <w:t>70</w:t>
      </w:r>
      <w:r>
        <w:rPr>
          <w:rStyle w:val="selectable"/>
        </w:rPr>
        <w:fldChar w:fldCharType="end"/>
      </w:r>
      <w:r>
        <w:rPr>
          <w:rStyle w:val="selectable"/>
        </w:rPr>
        <w:t xml:space="preserve">, at pp. </w:t>
      </w:r>
      <w:r>
        <w:t xml:space="preserve">468-472; Costello, supra note </w:t>
      </w:r>
      <w:r>
        <w:fldChar w:fldCharType="begin"/>
      </w:r>
      <w:r>
        <w:instrText xml:space="preserve"> NOTEREF _Ref479447950 \h </w:instrText>
      </w:r>
      <w:r>
        <w:fldChar w:fldCharType="separate"/>
      </w:r>
      <w:r>
        <w:t>30</w:t>
      </w:r>
      <w:r>
        <w:fldChar w:fldCharType="end"/>
      </w:r>
      <w:r>
        <w:t>, at pp. 320</w:t>
      </w:r>
    </w:p>
  </w:footnote>
  <w:footnote w:id="108">
    <w:p w14:paraId="7F8CCFFB" w14:textId="7A269F19" w:rsidR="008A474B" w:rsidRDefault="008A474B">
      <w:pPr>
        <w:pStyle w:val="FootnoteText"/>
      </w:pPr>
      <w:r>
        <w:rPr>
          <w:rStyle w:val="FootnoteReference"/>
        </w:rPr>
        <w:footnoteRef/>
      </w:r>
      <w:r>
        <w:t xml:space="preserve"> </w:t>
      </w:r>
      <w:r w:rsidRPr="00265BCD">
        <w:rPr>
          <w:rFonts w:ascii="Times New Roman" w:hAnsi="Times New Roman" w:cs="Times New Roman"/>
          <w:szCs w:val="24"/>
        </w:rPr>
        <w:t>Cost</w:t>
      </w:r>
      <w:r>
        <w:rPr>
          <w:rFonts w:ascii="Times New Roman" w:hAnsi="Times New Roman" w:cs="Times New Roman"/>
          <w:szCs w:val="24"/>
        </w:rPr>
        <w:t xml:space="preserve">ello, supra note </w:t>
      </w:r>
      <w:r>
        <w:rPr>
          <w:rFonts w:ascii="Times New Roman" w:hAnsi="Times New Roman" w:cs="Times New Roman"/>
          <w:szCs w:val="24"/>
        </w:rPr>
        <w:fldChar w:fldCharType="begin"/>
      </w:r>
      <w:r>
        <w:rPr>
          <w:rFonts w:ascii="Times New Roman" w:hAnsi="Times New Roman" w:cs="Times New Roman"/>
          <w:szCs w:val="24"/>
        </w:rPr>
        <w:instrText xml:space="preserve"> NOTEREF _Ref479447950 \h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30</w:t>
      </w:r>
      <w:r>
        <w:rPr>
          <w:rFonts w:ascii="Times New Roman" w:hAnsi="Times New Roman" w:cs="Times New Roman"/>
          <w:szCs w:val="24"/>
        </w:rPr>
        <w:fldChar w:fldCharType="end"/>
      </w:r>
      <w:r>
        <w:rPr>
          <w:rFonts w:ascii="Times New Roman" w:hAnsi="Times New Roman" w:cs="Times New Roman"/>
          <w:szCs w:val="24"/>
        </w:rPr>
        <w:t>, at pp. 300</w:t>
      </w:r>
    </w:p>
  </w:footnote>
  <w:footnote w:id="109">
    <w:p w14:paraId="59955B6F" w14:textId="29816B68" w:rsidR="008A474B" w:rsidRDefault="008A474B">
      <w:pPr>
        <w:pStyle w:val="FootnoteText"/>
      </w:pPr>
      <w:r>
        <w:rPr>
          <w:rStyle w:val="FootnoteReference"/>
        </w:rPr>
        <w:footnoteRef/>
      </w:r>
      <w:r>
        <w:t xml:space="preserve"> </w:t>
      </w:r>
      <w:r>
        <w:rPr>
          <w:rStyle w:val="selectable"/>
        </w:rPr>
        <w:t xml:space="preserve">Peers, supra note </w:t>
      </w:r>
      <w:r>
        <w:rPr>
          <w:rStyle w:val="selectable"/>
        </w:rPr>
        <w:fldChar w:fldCharType="begin"/>
      </w:r>
      <w:r>
        <w:rPr>
          <w:rStyle w:val="selectable"/>
        </w:rPr>
        <w:instrText xml:space="preserve"> NOTEREF _Ref479462226 \h </w:instrText>
      </w:r>
      <w:r>
        <w:rPr>
          <w:rStyle w:val="selectable"/>
        </w:rPr>
      </w:r>
      <w:r>
        <w:rPr>
          <w:rStyle w:val="selectable"/>
        </w:rPr>
        <w:fldChar w:fldCharType="separate"/>
      </w:r>
      <w:r>
        <w:rPr>
          <w:rStyle w:val="selectable"/>
        </w:rPr>
        <w:t>3</w:t>
      </w:r>
      <w:r>
        <w:rPr>
          <w:rStyle w:val="selectable"/>
        </w:rPr>
        <w:fldChar w:fldCharType="end"/>
      </w:r>
      <w:r>
        <w:rPr>
          <w:rStyle w:val="selectable"/>
        </w:rPr>
        <w:t xml:space="preserve">; Amnesty International, supra note </w:t>
      </w:r>
      <w:r>
        <w:rPr>
          <w:rStyle w:val="selectable"/>
        </w:rPr>
        <w:fldChar w:fldCharType="begin"/>
      </w:r>
      <w:r>
        <w:rPr>
          <w:rStyle w:val="selectable"/>
        </w:rPr>
        <w:instrText xml:space="preserve"> NOTEREF _Ref479464506 \h </w:instrText>
      </w:r>
      <w:r>
        <w:rPr>
          <w:rStyle w:val="selectable"/>
        </w:rPr>
      </w:r>
      <w:r>
        <w:rPr>
          <w:rStyle w:val="selectable"/>
        </w:rPr>
        <w:fldChar w:fldCharType="separate"/>
      </w:r>
      <w:r>
        <w:rPr>
          <w:rStyle w:val="selectable"/>
        </w:rPr>
        <w:t>83</w:t>
      </w:r>
      <w:r>
        <w:rPr>
          <w:rStyle w:val="selectable"/>
        </w:rPr>
        <w:fldChar w:fldCharType="end"/>
      </w:r>
      <w:r>
        <w:rPr>
          <w:rStyle w:val="selectable"/>
        </w:rPr>
        <w:t xml:space="preserve">; Human Rights Watch, supra note </w:t>
      </w:r>
      <w:r>
        <w:rPr>
          <w:rStyle w:val="selectable"/>
        </w:rPr>
        <w:fldChar w:fldCharType="begin"/>
      </w:r>
      <w:r>
        <w:rPr>
          <w:rStyle w:val="selectable"/>
        </w:rPr>
        <w:instrText xml:space="preserve"> NOTEREF _Ref479458206 \h </w:instrText>
      </w:r>
      <w:r>
        <w:rPr>
          <w:rStyle w:val="selectable"/>
        </w:rPr>
      </w:r>
      <w:r>
        <w:rPr>
          <w:rStyle w:val="selectable"/>
        </w:rPr>
        <w:fldChar w:fldCharType="separate"/>
      </w:r>
      <w:r>
        <w:rPr>
          <w:rStyle w:val="selectable"/>
        </w:rPr>
        <w:t>82</w:t>
      </w:r>
      <w:r>
        <w:rPr>
          <w:rStyle w:val="selectable"/>
        </w:rPr>
        <w:fldChar w:fldCharType="end"/>
      </w:r>
    </w:p>
  </w:footnote>
  <w:footnote w:id="110">
    <w:p w14:paraId="0C79F927" w14:textId="242D3FD5" w:rsidR="008A474B" w:rsidRDefault="008A474B">
      <w:pPr>
        <w:pStyle w:val="FootnoteText"/>
      </w:pPr>
      <w:r>
        <w:rPr>
          <w:rStyle w:val="FootnoteReference"/>
        </w:rPr>
        <w:footnoteRef/>
      </w:r>
      <w:r>
        <w:t xml:space="preserve"> Asylum Procedures Directive, supra note </w:t>
      </w:r>
      <w:r>
        <w:fldChar w:fldCharType="begin"/>
      </w:r>
      <w:r>
        <w:instrText xml:space="preserve"> NOTEREF _Ref479448410 \h </w:instrText>
      </w:r>
      <w:r>
        <w:fldChar w:fldCharType="separate"/>
      </w:r>
      <w:r>
        <w:t>41</w:t>
      </w:r>
      <w:r>
        <w:fldChar w:fldCharType="end"/>
      </w:r>
      <w:r>
        <w:t>, Art. 25</w:t>
      </w:r>
    </w:p>
  </w:footnote>
  <w:footnote w:id="111">
    <w:p w14:paraId="298C1E0B" w14:textId="6D8F55CF" w:rsidR="008A474B" w:rsidRDefault="008A474B">
      <w:pPr>
        <w:pStyle w:val="FootnoteText"/>
      </w:pPr>
      <w:r>
        <w:rPr>
          <w:rStyle w:val="FootnoteReference"/>
        </w:rPr>
        <w:footnoteRef/>
      </w:r>
      <w:r>
        <w:t xml:space="preserve"> </w:t>
      </w:r>
      <w:r>
        <w:rPr>
          <w:rStyle w:val="selectable"/>
        </w:rPr>
        <w:t xml:space="preserve">Peers, supra note </w:t>
      </w:r>
      <w:r>
        <w:rPr>
          <w:rStyle w:val="selectable"/>
        </w:rPr>
        <w:fldChar w:fldCharType="begin"/>
      </w:r>
      <w:r>
        <w:rPr>
          <w:rStyle w:val="selectable"/>
        </w:rPr>
        <w:instrText xml:space="preserve"> NOTEREF _Ref479462226 \h </w:instrText>
      </w:r>
      <w:r>
        <w:rPr>
          <w:rStyle w:val="selectable"/>
        </w:rPr>
      </w:r>
      <w:r>
        <w:rPr>
          <w:rStyle w:val="selectable"/>
        </w:rPr>
        <w:fldChar w:fldCharType="separate"/>
      </w:r>
      <w:r>
        <w:rPr>
          <w:rStyle w:val="selectable"/>
        </w:rPr>
        <w:t>3</w:t>
      </w:r>
      <w:r>
        <w:rPr>
          <w:rStyle w:val="selectable"/>
        </w:rPr>
        <w:fldChar w:fldCharType="end"/>
      </w:r>
    </w:p>
  </w:footnote>
  <w:footnote w:id="112">
    <w:p w14:paraId="07BCAACD" w14:textId="1CADC45D" w:rsidR="008A474B" w:rsidRDefault="008A474B">
      <w:pPr>
        <w:pStyle w:val="FootnoteText"/>
      </w:pPr>
      <w:r>
        <w:rPr>
          <w:rStyle w:val="FootnoteReference"/>
        </w:rPr>
        <w:footnoteRef/>
      </w:r>
      <w:r>
        <w:t xml:space="preserve"> De Boer, supra note </w:t>
      </w:r>
      <w:r>
        <w:fldChar w:fldCharType="begin"/>
      </w:r>
      <w:r>
        <w:instrText xml:space="preserve"> NOTEREF _Ref479437454 \h </w:instrText>
      </w:r>
      <w:r>
        <w:fldChar w:fldCharType="separate"/>
      </w:r>
      <w:r>
        <w:t>7</w:t>
      </w:r>
      <w:r>
        <w:fldChar w:fldCharType="end"/>
      </w:r>
      <w:r>
        <w:t xml:space="preserve">, at pp. 129-131; Moreno-Lax, supra note </w:t>
      </w:r>
      <w:r>
        <w:fldChar w:fldCharType="begin"/>
      </w:r>
      <w:r>
        <w:instrText xml:space="preserve"> NOTEREF _Ref479464994 \h </w:instrText>
      </w:r>
      <w:r>
        <w:fldChar w:fldCharType="separate"/>
      </w:r>
      <w:r>
        <w:t>98</w:t>
      </w:r>
      <w:r>
        <w:fldChar w:fldCharType="end"/>
      </w:r>
      <w:r>
        <w:t>, at pp. 581-582; Giuffre, supra note, at pp. 733</w:t>
      </w:r>
    </w:p>
  </w:footnote>
  <w:footnote w:id="113">
    <w:p w14:paraId="31D9BCCC" w14:textId="77777777" w:rsidR="008A474B" w:rsidRDefault="008A474B" w:rsidP="002A6E7D">
      <w:pPr>
        <w:pStyle w:val="FootnoteText"/>
      </w:pPr>
      <w:r>
        <w:rPr>
          <w:rStyle w:val="FootnoteReference"/>
        </w:rPr>
        <w:footnoteRef/>
      </w:r>
      <w:r>
        <w:t xml:space="preserve"> </w:t>
      </w:r>
      <w:r>
        <w:rPr>
          <w:rStyle w:val="selectable"/>
        </w:rPr>
        <w:t xml:space="preserve">Leila Nasr, 'The Extraterritoriality </w:t>
      </w:r>
      <w:proofErr w:type="gramStart"/>
      <w:r>
        <w:rPr>
          <w:rStyle w:val="selectable"/>
        </w:rPr>
        <w:t>Of</w:t>
      </w:r>
      <w:proofErr w:type="gramEnd"/>
      <w:r>
        <w:rPr>
          <w:rStyle w:val="selectable"/>
        </w:rPr>
        <w:t xml:space="preserve"> The Principle Of Non-</w:t>
      </w:r>
      <w:proofErr w:type="spellStart"/>
      <w:r>
        <w:rPr>
          <w:rStyle w:val="selectable"/>
        </w:rPr>
        <w:t>Refoulement</w:t>
      </w:r>
      <w:proofErr w:type="spellEnd"/>
      <w:r>
        <w:rPr>
          <w:rStyle w:val="selectable"/>
        </w:rPr>
        <w:t>: A Critique Of The Sale Case And Roma Case' &lt;http://blogs.lse.ac.uk/humanrights/2016/02/09/the-extraterritoriality-of-the-principle-of-non-refoulement-a-critique-of-the-sale-case-and-roma-case/&gt; accessed 4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259122"/>
      <w:docPartObj>
        <w:docPartGallery w:val="Page Numbers (Top of Page)"/>
        <w:docPartUnique/>
      </w:docPartObj>
    </w:sdtPr>
    <w:sdtEndPr>
      <w:rPr>
        <w:noProof/>
      </w:rPr>
    </w:sdtEndPr>
    <w:sdtContent>
      <w:p w14:paraId="1AA7128A" w14:textId="558D1AC7" w:rsidR="008A474B" w:rsidRDefault="008A474B">
        <w:pPr>
          <w:pStyle w:val="Header"/>
          <w:jc w:val="right"/>
        </w:pPr>
        <w:r>
          <w:fldChar w:fldCharType="begin"/>
        </w:r>
        <w:r>
          <w:instrText xml:space="preserve"> PAGE   \* MERGEFORMAT </w:instrText>
        </w:r>
        <w:r>
          <w:fldChar w:fldCharType="separate"/>
        </w:r>
        <w:r w:rsidR="00A45175">
          <w:rPr>
            <w:noProof/>
          </w:rPr>
          <w:t>1</w:t>
        </w:r>
        <w:r>
          <w:rPr>
            <w:noProof/>
          </w:rPr>
          <w:fldChar w:fldCharType="end"/>
        </w:r>
      </w:p>
    </w:sdtContent>
  </w:sdt>
  <w:p w14:paraId="167EF9C6" w14:textId="77777777" w:rsidR="008A474B" w:rsidRDefault="008A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71BA7"/>
    <w:multiLevelType w:val="hybridMultilevel"/>
    <w:tmpl w:val="0D8C37CC"/>
    <w:lvl w:ilvl="0" w:tplc="1428A61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09"/>
    <w:rsid w:val="0000413B"/>
    <w:rsid w:val="00033FD1"/>
    <w:rsid w:val="000A6E2C"/>
    <w:rsid w:val="000D50E6"/>
    <w:rsid w:val="00127B75"/>
    <w:rsid w:val="00161158"/>
    <w:rsid w:val="00177EE1"/>
    <w:rsid w:val="001A4501"/>
    <w:rsid w:val="001E376C"/>
    <w:rsid w:val="001E6151"/>
    <w:rsid w:val="00226CC6"/>
    <w:rsid w:val="00237749"/>
    <w:rsid w:val="00250C97"/>
    <w:rsid w:val="00250EF8"/>
    <w:rsid w:val="00266860"/>
    <w:rsid w:val="0028273A"/>
    <w:rsid w:val="002A6E7D"/>
    <w:rsid w:val="002B3D2D"/>
    <w:rsid w:val="002B5A57"/>
    <w:rsid w:val="002B7A82"/>
    <w:rsid w:val="002C6C8A"/>
    <w:rsid w:val="0030723B"/>
    <w:rsid w:val="0031434A"/>
    <w:rsid w:val="00321FD5"/>
    <w:rsid w:val="00335BAE"/>
    <w:rsid w:val="00344903"/>
    <w:rsid w:val="003520F8"/>
    <w:rsid w:val="00386771"/>
    <w:rsid w:val="003A7F20"/>
    <w:rsid w:val="003E3A7C"/>
    <w:rsid w:val="003E57D6"/>
    <w:rsid w:val="00422726"/>
    <w:rsid w:val="004634E1"/>
    <w:rsid w:val="004948A9"/>
    <w:rsid w:val="00523372"/>
    <w:rsid w:val="005330A9"/>
    <w:rsid w:val="00547B7E"/>
    <w:rsid w:val="00582ABF"/>
    <w:rsid w:val="00590BBE"/>
    <w:rsid w:val="005A11BD"/>
    <w:rsid w:val="005B330C"/>
    <w:rsid w:val="005B7CD7"/>
    <w:rsid w:val="005E71E9"/>
    <w:rsid w:val="00610091"/>
    <w:rsid w:val="006370D9"/>
    <w:rsid w:val="00655448"/>
    <w:rsid w:val="00660E6E"/>
    <w:rsid w:val="006851BA"/>
    <w:rsid w:val="00694F89"/>
    <w:rsid w:val="006C100E"/>
    <w:rsid w:val="00715FA7"/>
    <w:rsid w:val="007258C8"/>
    <w:rsid w:val="00773FA8"/>
    <w:rsid w:val="007A47BC"/>
    <w:rsid w:val="007C5687"/>
    <w:rsid w:val="007D19A7"/>
    <w:rsid w:val="007F0A5C"/>
    <w:rsid w:val="007F26F2"/>
    <w:rsid w:val="007F3ADE"/>
    <w:rsid w:val="008565C9"/>
    <w:rsid w:val="0087039D"/>
    <w:rsid w:val="00872A31"/>
    <w:rsid w:val="00874D46"/>
    <w:rsid w:val="00877702"/>
    <w:rsid w:val="00881E08"/>
    <w:rsid w:val="0088380F"/>
    <w:rsid w:val="008A474B"/>
    <w:rsid w:val="008A7993"/>
    <w:rsid w:val="008C1E3E"/>
    <w:rsid w:val="008F6685"/>
    <w:rsid w:val="00920E82"/>
    <w:rsid w:val="00921351"/>
    <w:rsid w:val="00933104"/>
    <w:rsid w:val="00952E20"/>
    <w:rsid w:val="009622F2"/>
    <w:rsid w:val="009649B0"/>
    <w:rsid w:val="009672F9"/>
    <w:rsid w:val="00990FF7"/>
    <w:rsid w:val="009B3F90"/>
    <w:rsid w:val="009F6D77"/>
    <w:rsid w:val="00A250BF"/>
    <w:rsid w:val="00A45175"/>
    <w:rsid w:val="00A47AFB"/>
    <w:rsid w:val="00A52790"/>
    <w:rsid w:val="00A7417B"/>
    <w:rsid w:val="00A81662"/>
    <w:rsid w:val="00AB6F7D"/>
    <w:rsid w:val="00AC7B70"/>
    <w:rsid w:val="00AD070B"/>
    <w:rsid w:val="00AE216A"/>
    <w:rsid w:val="00AE7B70"/>
    <w:rsid w:val="00AF5841"/>
    <w:rsid w:val="00AF6191"/>
    <w:rsid w:val="00B14CCB"/>
    <w:rsid w:val="00B167FF"/>
    <w:rsid w:val="00B33BB8"/>
    <w:rsid w:val="00BA549F"/>
    <w:rsid w:val="00BC0260"/>
    <w:rsid w:val="00C266C5"/>
    <w:rsid w:val="00C37466"/>
    <w:rsid w:val="00C37D9B"/>
    <w:rsid w:val="00C52BAE"/>
    <w:rsid w:val="00C70931"/>
    <w:rsid w:val="00C816E4"/>
    <w:rsid w:val="00CC0E1C"/>
    <w:rsid w:val="00CC2504"/>
    <w:rsid w:val="00CC7261"/>
    <w:rsid w:val="00D052F9"/>
    <w:rsid w:val="00D16D67"/>
    <w:rsid w:val="00D253B6"/>
    <w:rsid w:val="00D2766B"/>
    <w:rsid w:val="00D46753"/>
    <w:rsid w:val="00D5136F"/>
    <w:rsid w:val="00D62256"/>
    <w:rsid w:val="00D67309"/>
    <w:rsid w:val="00D93CF3"/>
    <w:rsid w:val="00DA6816"/>
    <w:rsid w:val="00DB6542"/>
    <w:rsid w:val="00DC70BA"/>
    <w:rsid w:val="00DD06FD"/>
    <w:rsid w:val="00DE6D1D"/>
    <w:rsid w:val="00DF4BFE"/>
    <w:rsid w:val="00E25D03"/>
    <w:rsid w:val="00E80016"/>
    <w:rsid w:val="00EC1150"/>
    <w:rsid w:val="00EC2DBE"/>
    <w:rsid w:val="00ED7865"/>
    <w:rsid w:val="00EE5F33"/>
    <w:rsid w:val="00F436ED"/>
    <w:rsid w:val="00F65DE2"/>
    <w:rsid w:val="00F74ACB"/>
    <w:rsid w:val="00F828BD"/>
    <w:rsid w:val="00F87BA1"/>
    <w:rsid w:val="00F93174"/>
    <w:rsid w:val="00FB3CAB"/>
    <w:rsid w:val="00FE7974"/>
    <w:rsid w:val="00FF0D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B9C81"/>
  <w15:chartTrackingRefBased/>
  <w15:docId w15:val="{7D566BAD-3BBF-4016-BAD4-F8BE1C85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309"/>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2B5A5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eastAsia="zh-CN"/>
    </w:rPr>
  </w:style>
  <w:style w:type="paragraph" w:styleId="Heading2">
    <w:name w:val="heading 2"/>
    <w:basedOn w:val="Normal"/>
    <w:next w:val="Normal"/>
    <w:link w:val="Heading2Char"/>
    <w:uiPriority w:val="9"/>
    <w:unhideWhenUsed/>
    <w:qFormat/>
    <w:rsid w:val="00920E8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zh-CN"/>
    </w:rPr>
  </w:style>
  <w:style w:type="paragraph" w:styleId="Heading3">
    <w:name w:val="heading 3"/>
    <w:basedOn w:val="Normal"/>
    <w:next w:val="Normal"/>
    <w:link w:val="Heading3Char"/>
    <w:uiPriority w:val="9"/>
    <w:unhideWhenUsed/>
    <w:qFormat/>
    <w:rsid w:val="006370D9"/>
    <w:pPr>
      <w:keepNext/>
      <w:keepLines/>
      <w:spacing w:before="40" w:line="259" w:lineRule="auto"/>
      <w:outlineLvl w:val="2"/>
    </w:pPr>
    <w:rPr>
      <w:rFonts w:asciiTheme="majorHAnsi" w:eastAsiaTheme="majorEastAsia" w:hAnsiTheme="majorHAnsi" w:cstheme="majorBidi"/>
      <w:color w:val="1F4D78" w:themeColor="accent1" w:themeShade="7F"/>
      <w:lang w:val="en-GB" w:eastAsia="zh-CN"/>
    </w:rPr>
  </w:style>
  <w:style w:type="paragraph" w:styleId="Heading4">
    <w:name w:val="heading 4"/>
    <w:basedOn w:val="Normal"/>
    <w:next w:val="Normal"/>
    <w:link w:val="Heading4Char"/>
    <w:uiPriority w:val="9"/>
    <w:semiHidden/>
    <w:unhideWhenUsed/>
    <w:qFormat/>
    <w:rsid w:val="00AF61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309"/>
    <w:pPr>
      <w:spacing w:after="0" w:line="240" w:lineRule="auto"/>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150"/>
    <w:pPr>
      <w:tabs>
        <w:tab w:val="center" w:pos="4513"/>
        <w:tab w:val="right" w:pos="9026"/>
      </w:tabs>
    </w:pPr>
  </w:style>
  <w:style w:type="character" w:customStyle="1" w:styleId="HeaderChar">
    <w:name w:val="Header Char"/>
    <w:basedOn w:val="DefaultParagraphFont"/>
    <w:link w:val="Header"/>
    <w:uiPriority w:val="99"/>
    <w:rsid w:val="00EC1150"/>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EC1150"/>
    <w:pPr>
      <w:tabs>
        <w:tab w:val="center" w:pos="4513"/>
        <w:tab w:val="right" w:pos="9026"/>
      </w:tabs>
    </w:pPr>
  </w:style>
  <w:style w:type="character" w:customStyle="1" w:styleId="FooterChar">
    <w:name w:val="Footer Char"/>
    <w:basedOn w:val="DefaultParagraphFont"/>
    <w:link w:val="Footer"/>
    <w:uiPriority w:val="99"/>
    <w:rsid w:val="00EC1150"/>
    <w:rPr>
      <w:rFonts w:ascii="Times New Roman" w:eastAsia="MS Mincho" w:hAnsi="Times New Roman" w:cs="Times New Roman"/>
      <w:sz w:val="24"/>
      <w:szCs w:val="24"/>
      <w:lang w:val="en-US" w:eastAsia="ja-JP"/>
    </w:rPr>
  </w:style>
  <w:style w:type="character" w:customStyle="1" w:styleId="Heading1Char">
    <w:name w:val="Heading 1 Char"/>
    <w:basedOn w:val="DefaultParagraphFont"/>
    <w:link w:val="Heading1"/>
    <w:uiPriority w:val="9"/>
    <w:rsid w:val="002B5A5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B5A57"/>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uiPriority w:val="99"/>
    <w:semiHidden/>
    <w:rsid w:val="002B5A57"/>
    <w:rPr>
      <w:rFonts w:eastAsiaTheme="minorEastAsia"/>
      <w:sz w:val="20"/>
      <w:szCs w:val="20"/>
    </w:rPr>
  </w:style>
  <w:style w:type="character" w:styleId="FootnoteReference">
    <w:name w:val="footnote reference"/>
    <w:basedOn w:val="DefaultParagraphFont"/>
    <w:uiPriority w:val="99"/>
    <w:semiHidden/>
    <w:unhideWhenUsed/>
    <w:rsid w:val="002B5A57"/>
    <w:rPr>
      <w:vertAlign w:val="superscript"/>
    </w:rPr>
  </w:style>
  <w:style w:type="character" w:customStyle="1" w:styleId="selectable">
    <w:name w:val="selectable"/>
    <w:basedOn w:val="DefaultParagraphFont"/>
    <w:rsid w:val="002B5A57"/>
  </w:style>
  <w:style w:type="character" w:customStyle="1" w:styleId="Heading2Char">
    <w:name w:val="Heading 2 Char"/>
    <w:basedOn w:val="DefaultParagraphFont"/>
    <w:link w:val="Heading2"/>
    <w:uiPriority w:val="9"/>
    <w:rsid w:val="00920E8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0E82"/>
    <w:rPr>
      <w:sz w:val="18"/>
      <w:szCs w:val="18"/>
    </w:rPr>
  </w:style>
  <w:style w:type="paragraph" w:styleId="CommentText">
    <w:name w:val="annotation text"/>
    <w:basedOn w:val="Normal"/>
    <w:link w:val="CommentTextChar"/>
    <w:uiPriority w:val="99"/>
    <w:semiHidden/>
    <w:unhideWhenUsed/>
    <w:rsid w:val="00920E82"/>
    <w:pPr>
      <w:spacing w:after="160"/>
    </w:pPr>
    <w:rPr>
      <w:rFonts w:asciiTheme="minorHAnsi" w:eastAsiaTheme="minorEastAsia" w:hAnsiTheme="minorHAnsi" w:cstheme="minorBidi"/>
      <w:lang w:val="en-GB" w:eastAsia="zh-CN"/>
    </w:rPr>
  </w:style>
  <w:style w:type="character" w:customStyle="1" w:styleId="CommentTextChar">
    <w:name w:val="Comment Text Char"/>
    <w:basedOn w:val="DefaultParagraphFont"/>
    <w:link w:val="CommentText"/>
    <w:uiPriority w:val="99"/>
    <w:semiHidden/>
    <w:rsid w:val="00920E82"/>
    <w:rPr>
      <w:rFonts w:eastAsiaTheme="minorEastAsia"/>
      <w:sz w:val="24"/>
      <w:szCs w:val="24"/>
    </w:rPr>
  </w:style>
  <w:style w:type="paragraph" w:styleId="BalloonText">
    <w:name w:val="Balloon Text"/>
    <w:basedOn w:val="Normal"/>
    <w:link w:val="BalloonTextChar"/>
    <w:uiPriority w:val="99"/>
    <w:semiHidden/>
    <w:unhideWhenUsed/>
    <w:rsid w:val="00920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82"/>
    <w:rPr>
      <w:rFonts w:ascii="Segoe UI" w:eastAsia="MS Mincho" w:hAnsi="Segoe UI" w:cs="Segoe UI"/>
      <w:sz w:val="18"/>
      <w:szCs w:val="18"/>
      <w:lang w:val="en-US" w:eastAsia="ja-JP"/>
    </w:rPr>
  </w:style>
  <w:style w:type="paragraph" w:customStyle="1" w:styleId="Pa7">
    <w:name w:val="Pa7"/>
    <w:basedOn w:val="Normal"/>
    <w:next w:val="Normal"/>
    <w:uiPriority w:val="99"/>
    <w:rsid w:val="002B3D2D"/>
    <w:pPr>
      <w:autoSpaceDE w:val="0"/>
      <w:autoSpaceDN w:val="0"/>
      <w:adjustRightInd w:val="0"/>
      <w:spacing w:line="241" w:lineRule="atLeast"/>
    </w:pPr>
    <w:rPr>
      <w:rFonts w:ascii="Adobe Garamond Pro" w:eastAsiaTheme="minorEastAsia" w:hAnsi="Adobe Garamond Pro" w:cstheme="minorBidi"/>
      <w:lang w:val="en-GB" w:eastAsia="zh-CN"/>
    </w:rPr>
  </w:style>
  <w:style w:type="character" w:customStyle="1" w:styleId="A2">
    <w:name w:val="A2"/>
    <w:uiPriority w:val="99"/>
    <w:rsid w:val="002B3D2D"/>
    <w:rPr>
      <w:rFonts w:cs="Adobe Garamond Pro"/>
      <w:color w:val="000000"/>
      <w:sz w:val="16"/>
      <w:szCs w:val="16"/>
    </w:rPr>
  </w:style>
  <w:style w:type="character" w:styleId="Hyperlink">
    <w:name w:val="Hyperlink"/>
    <w:basedOn w:val="DefaultParagraphFont"/>
    <w:uiPriority w:val="99"/>
    <w:semiHidden/>
    <w:unhideWhenUsed/>
    <w:rsid w:val="007D19A7"/>
    <w:rPr>
      <w:strike w:val="0"/>
      <w:dstrike w:val="0"/>
      <w:color w:val="992211"/>
      <w:u w:val="none"/>
      <w:effect w:val="none"/>
    </w:rPr>
  </w:style>
  <w:style w:type="character" w:customStyle="1" w:styleId="Heading3Char">
    <w:name w:val="Heading 3 Char"/>
    <w:basedOn w:val="DefaultParagraphFont"/>
    <w:link w:val="Heading3"/>
    <w:uiPriority w:val="9"/>
    <w:rsid w:val="006370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F6191"/>
    <w:rPr>
      <w:rFonts w:asciiTheme="majorHAnsi" w:eastAsiaTheme="majorEastAsia" w:hAnsiTheme="majorHAnsi" w:cstheme="majorBidi"/>
      <w:i/>
      <w:iCs/>
      <w:color w:val="2E74B5" w:themeColor="accent1" w:themeShade="B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6413-B5A6-4548-B938-F9029D2D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6429</Words>
  <Characters>34079</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Bernard</dc:creator>
  <cp:keywords/>
  <dc:description/>
  <cp:lastModifiedBy>Victor Bernard</cp:lastModifiedBy>
  <cp:revision>5</cp:revision>
  <cp:lastPrinted>2017-04-18T16:52:00Z</cp:lastPrinted>
  <dcterms:created xsi:type="dcterms:W3CDTF">2018-02-13T16:25:00Z</dcterms:created>
  <dcterms:modified xsi:type="dcterms:W3CDTF">2018-02-13T16:34:00Z</dcterms:modified>
</cp:coreProperties>
</file>